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Регіонального відділення Фонду державного майна України 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 Одеській та Миколаївській областях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проведення продажу на аукціоні об’єкта малої приватизації </w:t>
      </w:r>
      <w:r w:rsidR="00981B8A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</w:p>
    <w:p w:rsidR="00406C4B" w:rsidRDefault="00FB1E2C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державного пакета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акцій у кількості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2883281 штук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</w:p>
    <w:p w:rsidR="00406C4B" w:rsidRDefault="00F750F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що становить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50%</w:t>
      </w:r>
      <w:r w:rsidR="00406C4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статутного капіталу </w:t>
      </w:r>
    </w:p>
    <w:p w:rsidR="008F7513" w:rsidRPr="00BB46EE" w:rsidRDefault="00406C4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Публічного акціонерного товариства «Машинобудівне виробниче об’єднання «Оріон»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5B059C" w:rsidP="005B05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Інформація про об’єкт приватизації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42212" w:rsidRDefault="008F7513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Найменування об’єкта приватизації:  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державний пакет акцій Публічного акціонерного товариства «Машинобудівне виробниче об’єднання «Оріон» (далі – ПАТ МВО «Оріон»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товариство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у кількості 2</w:t>
      </w:r>
      <w:r w:rsidR="00111E14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 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883281 штук</w:t>
      </w:r>
      <w:r w:rsidR="0068530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що становить  50%  статутного капіталу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товариства</w:t>
      </w:r>
      <w:r w:rsid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594FFC" w:rsidRDefault="00D42212" w:rsidP="0011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Розмір статутного капіталу товариства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 1 441 640,00 грн (один мільйон чотириста сорок одна тисяча шістсот сорок гривень)</w:t>
      </w:r>
      <w:r w:rsidR="00594FF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94FFC" w:rsidRPr="00A7049D" w:rsidRDefault="00594FFC" w:rsidP="00D706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Статутний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капітал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поділений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5 766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 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560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штук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простих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іменних акцій номінальною</w:t>
      </w:r>
    </w:p>
    <w:p w:rsidR="00594FFC" w:rsidRPr="00A7049D" w:rsidRDefault="00A7049D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артістю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0,25 грн.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Станом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01.09.2022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року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2 883 279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штук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акцій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у приватній власності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недержавних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акціонерів;  2 883 281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штук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акцій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державній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власності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та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складають пакет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акцій, що є об’єктом приватизації.</w:t>
      </w:r>
    </w:p>
    <w:p w:rsidR="00594FFC" w:rsidRDefault="00594FFC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85301" w:rsidRDefault="008F7513" w:rsidP="006853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Місцезнаходження</w:t>
      </w:r>
      <w:r w:rsidR="00073E94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(юридична адреса)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ПАТ МВО «Оріон»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 </w:t>
      </w:r>
    </w:p>
    <w:p w:rsidR="008F7513" w:rsidRPr="00685301" w:rsidRDefault="008F7513" w:rsidP="006853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685301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. Одеса, 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вул.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Житомирська (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Академіка  Гаркавого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)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, 6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42F3A" w:rsidRDefault="00142F3A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</w:p>
    <w:p w:rsidR="008F7513" w:rsidRDefault="008F7513" w:rsidP="001275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Ідентифікаційний код згідно з ЄДРПОУ: 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="00D2743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99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9914CA" w:rsidRDefault="009914CA" w:rsidP="00685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F7513" w:rsidRPr="00957054" w:rsidRDefault="008F7513" w:rsidP="00142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Середньооблікова чисельність працівників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станом на 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30.06</w:t>
      </w:r>
      <w:r w:rsidR="00F030FB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2022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9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ос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іб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8F7513" w:rsidRPr="005955D3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Основни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й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вид діяльності 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КВЕД: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68.20 Оренда та </w:t>
      </w:r>
      <w:r w:rsidR="005955D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управл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іння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власною чи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орендованою нерухомістю</w:t>
      </w:r>
      <w:r w:rsidR="005D17C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Обсяг реалізації продукції (робіт, послуг) за період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201</w:t>
      </w:r>
      <w:r w:rsidR="00A102E0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9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-</w:t>
      </w:r>
      <w:r w:rsidR="00D2743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 півріччя 2022 року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 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2</w:t>
      </w:r>
      <w:r w:rsidR="00CD4868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8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0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тис. грн.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, у тому числі експортної -  0,0 тис. грн.</w:t>
      </w:r>
    </w:p>
    <w:p w:rsidR="005520AB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Основна номенклатура продукції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надання в оренду 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й експлуатацію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власного майна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чи орендованого нерухомого майна</w:t>
      </w:r>
      <w:r w:rsidR="005520AB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8F7513" w:rsidRPr="00BB46EE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8F7513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Обсяг та основна номенклатура продукції (робіт, послуг):</w:t>
      </w:r>
    </w:p>
    <w:p w:rsidR="00AD031E" w:rsidRPr="00BB46EE" w:rsidRDefault="00AD031E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301"/>
        <w:gridCol w:w="4637"/>
      </w:tblGrid>
      <w:tr w:rsidR="008F7513" w:rsidRPr="00BB46EE">
        <w:trPr>
          <w:jc w:val="center"/>
        </w:trPr>
        <w:tc>
          <w:tcPr>
            <w:tcW w:w="1418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3301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Загальний дохід,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  <w:tc>
          <w:tcPr>
            <w:tcW w:w="4637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Дохід за основним видом діяльності,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</w:tr>
      <w:tr w:rsidR="00511AB1" w:rsidRPr="00477188">
        <w:trPr>
          <w:jc w:val="center"/>
        </w:trPr>
        <w:tc>
          <w:tcPr>
            <w:tcW w:w="1418" w:type="dxa"/>
          </w:tcPr>
          <w:p w:rsidR="00511AB1" w:rsidRPr="00477188" w:rsidRDefault="00DC611E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2019</w:t>
            </w:r>
            <w:r w:rsidR="00511AB1"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3301" w:type="dxa"/>
          </w:tcPr>
          <w:p w:rsidR="00511AB1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5321</w:t>
            </w:r>
          </w:p>
        </w:tc>
        <w:tc>
          <w:tcPr>
            <w:tcW w:w="4637" w:type="dxa"/>
          </w:tcPr>
          <w:p w:rsidR="00511AB1" w:rsidRPr="00477188" w:rsidRDefault="00A102E0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4854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2020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2021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</w:t>
            </w:r>
            <w:r w:rsidR="00D27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7664</w:t>
            </w:r>
          </w:p>
        </w:tc>
      </w:tr>
      <w:tr w:rsidR="00D2743C" w:rsidRPr="00477188">
        <w:trPr>
          <w:jc w:val="center"/>
        </w:trPr>
        <w:tc>
          <w:tcPr>
            <w:tcW w:w="1418" w:type="dxa"/>
          </w:tcPr>
          <w:p w:rsidR="00D2743C" w:rsidRPr="00477188" w:rsidRDefault="00D2743C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 півріччя 2022 року</w:t>
            </w:r>
          </w:p>
        </w:tc>
        <w:tc>
          <w:tcPr>
            <w:tcW w:w="3301" w:type="dxa"/>
          </w:tcPr>
          <w:p w:rsidR="00D2743C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  <w:tc>
          <w:tcPr>
            <w:tcW w:w="4637" w:type="dxa"/>
          </w:tcPr>
          <w:p w:rsidR="00D2743C" w:rsidRPr="00477188" w:rsidRDefault="00D2743C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</w:tr>
    </w:tbl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85301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Основні показники госпо</w:t>
      </w:r>
      <w:r w:rsidR="00DB6A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дарської діяльності товариства</w:t>
      </w:r>
    </w:p>
    <w:p w:rsidR="00AD031E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останні три роки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та останній звітний період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9"/>
        <w:gridCol w:w="3931"/>
        <w:gridCol w:w="1234"/>
        <w:gridCol w:w="852"/>
        <w:gridCol w:w="852"/>
        <w:gridCol w:w="853"/>
        <w:gridCol w:w="1016"/>
      </w:tblGrid>
      <w:tr w:rsidR="00A102E0" w:rsidRPr="00BB46EE" w:rsidTr="006C03D3">
        <w:trPr>
          <w:trHeight w:hRule="exact" w:val="6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Показники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Одиниця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виміру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2019р.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2020р.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2021р.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</w:p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півріччя 2022 р.</w:t>
            </w:r>
          </w:p>
        </w:tc>
      </w:tr>
      <w:tr w:rsidR="00A102E0" w:rsidRPr="00BB46EE" w:rsidTr="006C03D3">
        <w:trPr>
          <w:trHeight w:hRule="exact" w:val="5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Активи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(форма №1, рядок 1300)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тис: гри.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14852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Необоротні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52696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37367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D2743C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27841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нематеріальних активів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7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незавершених капітальних інвестицій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основних засобів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42194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26865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17339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548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запаси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9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сумарна дебіторська заборгованість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(форма № 1,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рядок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1125+1130+1135+1140+1145+1155)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513</w:t>
            </w:r>
          </w:p>
        </w:tc>
      </w:tr>
      <w:tr w:rsidR="00A102E0" w:rsidRPr="00BB46EE" w:rsidTr="006C03D3">
        <w:trPr>
          <w:trHeight w:hRule="exact" w:val="5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гроші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(форма № 1, рядок 1165)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Витрати майбутніх періодів  (форма №1, рядок 1170)</w:t>
            </w: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Інші оборотні активи  (форма №1, ряд.1190)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Пасиви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14852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Власний капітал (форма № 1, рядок 1495)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50664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25054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10878</w:t>
            </w:r>
          </w:p>
        </w:tc>
      </w:tr>
      <w:tr w:rsidR="00A102E0" w:rsidRPr="00BB46EE" w:rsidTr="006C03D3">
        <w:trPr>
          <w:trHeight w:hRule="exact" w:val="7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зобов’язання (форма № 1, рядок 1595)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Поточні зобов’язання,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86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поточна кредиторська заборгованість сумарна </w:t>
            </w:r>
            <w:r w:rsidRPr="00BB46EE">
              <w:rPr>
                <w:rStyle w:val="21"/>
                <w:sz w:val="20"/>
                <w:szCs w:val="20"/>
              </w:rPr>
              <w:t>(форма № 1, рядок 1695 -1660 - 1665 -1670)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5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Прострочена кредиторська заборгованість, в тому числі за: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3483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перед бюджетом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1993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за товари, роботи, послуги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Доходи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7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4854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4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фінансові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Витрати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14618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21052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17689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12634</w:t>
            </w:r>
          </w:p>
        </w:tc>
      </w:tr>
      <w:tr w:rsidR="00A102E0" w:rsidRPr="00BB46EE" w:rsidTr="006C03D3">
        <w:trPr>
          <w:trHeight w:hRule="exact" w:val="5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11840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4358</w:t>
            </w:r>
          </w:p>
        </w:tc>
      </w:tr>
      <w:tr w:rsidR="00A102E0" w:rsidRPr="00BB46EE" w:rsidTr="006C03D3"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2275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на збут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239</w:t>
            </w:r>
          </w:p>
        </w:tc>
      </w:tr>
      <w:tr w:rsidR="00A102E0" w:rsidRPr="00BB46EE" w:rsidTr="006C03D3">
        <w:trPr>
          <w:trHeight w:hRule="exact" w:val="4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5762</w:t>
            </w:r>
          </w:p>
        </w:tc>
      </w:tr>
      <w:tr w:rsidR="00A102E0" w:rsidRPr="00BB46EE" w:rsidTr="006C03D3">
        <w:trPr>
          <w:trHeight w:hRule="exact" w:val="4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tabs>
                <w:tab w:val="left" w:leader="underscore" w:pos="4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Чистий прибуток (збиток) +,-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-9437</w:t>
            </w:r>
          </w:p>
        </w:tc>
      </w:tr>
      <w:tr w:rsidR="00A102E0" w:rsidRPr="00BB46EE" w:rsidTr="006C03D3">
        <w:trPr>
          <w:trHeight w:hRule="exact" w:val="7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9760614"/>
            <w:r w:rsidRPr="00BB46EE">
              <w:rPr>
                <w:rStyle w:val="20"/>
                <w:sz w:val="20"/>
                <w:szCs w:val="20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Середня кількість всіх працівників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чол.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Фонд оплати праці усіх працівників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659</w:t>
            </w:r>
          </w:p>
        </w:tc>
      </w:tr>
      <w:tr w:rsidR="00A102E0" w:rsidRPr="00BB46EE" w:rsidTr="006C03D3"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12203</w:t>
            </w:r>
          </w:p>
        </w:tc>
      </w:tr>
      <w:bookmarkEnd w:id="0"/>
    </w:tbl>
    <w:p w:rsidR="00AD031E" w:rsidRPr="00BB46EE" w:rsidRDefault="00AD031E" w:rsidP="00E6070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74F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таном на 31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</w:t>
      </w:r>
      <w:r w:rsidR="003E5A0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F7513" w:rsidRPr="0047718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77188">
        <w:rPr>
          <w:rFonts w:ascii="Times New Roman" w:hAnsi="Times New Roman" w:cs="Times New Roman"/>
          <w:sz w:val="24"/>
          <w:szCs w:val="24"/>
          <w:lang w:val="uk-UA"/>
        </w:rPr>
        <w:t>Прострочена к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редиторська заборгованість– </w:t>
      </w:r>
      <w:r w:rsidR="003E5A0C" w:rsidRPr="00477188">
        <w:rPr>
          <w:rFonts w:ascii="Times New Roman" w:hAnsi="Times New Roman" w:cs="Times New Roman"/>
          <w:sz w:val="24"/>
          <w:szCs w:val="24"/>
          <w:lang w:val="uk-UA"/>
        </w:rPr>
        <w:t>3483</w:t>
      </w:r>
      <w:r w:rsidR="003125DE" w:rsidRPr="004771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у тому числі:</w:t>
      </w:r>
    </w:p>
    <w:p w:rsidR="002774F8" w:rsidRDefault="002774F8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довгостроковими зобов’язаннями – 1490,0 тис. грн.;</w:t>
      </w:r>
    </w:p>
    <w:p w:rsidR="002774F8" w:rsidRDefault="003E5A0C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розрахунками з бюджетом – 1993</w:t>
      </w:r>
      <w:r w:rsidR="00277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,0 тис. грн.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Поточна кредиторська заборгованість – 491 тис.грн., у тому числі: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товари, роботи, послуги – 460 тис.грн.,</w:t>
      </w:r>
    </w:p>
    <w:p w:rsidR="00CA01BF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інша кредиторсь</w:t>
      </w:r>
      <w:r w:rsidR="000E3A10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заборгованість – 31 тис.грн.</w:t>
      </w:r>
    </w:p>
    <w:p w:rsid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0CEE" w:rsidRPr="00111E14" w:rsidRDefault="00F60CEE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Відомості про об’єкт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нерухом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майн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  <w:r w:rsidR="00DF5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*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650C0D" w:rsidRDefault="00D42212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Майно товариства розташовано за адресами</w:t>
      </w:r>
      <w:r w:rsidR="00650C0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42212" w:rsidRDefault="00650C0D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-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виробництво №3: </w:t>
      </w:r>
      <w:r w:rsidR="00D42212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Одеса, вул.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Житомирська (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Академіка  Гаркавого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№2:  м. Одеса, вул. Болгарська, 71;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r w:rsidR="009D0D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виробництво №2:  м. Одеса, вул.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Болгарська, 80;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№1:  м. Одеса, вул. Степова, 9;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водна станція: м. Одеса, Миколаївська дорога, 142</w:t>
      </w:r>
      <w:r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42212" w:rsidRPr="00BB46EE" w:rsidRDefault="00D42212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26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1559"/>
        <w:gridCol w:w="993"/>
        <w:gridCol w:w="1151"/>
        <w:gridCol w:w="1276"/>
        <w:gridCol w:w="1700"/>
        <w:gridCol w:w="1276"/>
        <w:gridCol w:w="1099"/>
      </w:tblGrid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Адреса розташування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Загальна площа, кв.м.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Функціо-нальне використан-ня</w:t>
            </w:r>
          </w:p>
        </w:tc>
        <w:tc>
          <w:tcPr>
            <w:tcW w:w="1700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Підстава** </w:t>
            </w: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виникнення права власності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власності та власник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Адміністративно  – побутова/ виробнича будівля  -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Житомирська (Ак. Гаркавого), 6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8429,0</w:t>
            </w:r>
          </w:p>
        </w:tc>
        <w:tc>
          <w:tcPr>
            <w:tcW w:w="1151" w:type="dxa"/>
            <w:vAlign w:val="center"/>
          </w:tcPr>
          <w:p w:rsidR="00781200" w:rsidRPr="00503FF2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Будівлі офісні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Адміністративна будівля товариства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1597,6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Цех-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Житомирська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4262,0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Компресорна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306,8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Котельня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387,5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393,3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Бокси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157,2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 -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873,7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451,8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ПАТ МВО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Битовка –літера «М»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71,3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EA4A54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Насосна -  літера 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Труборізка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Вагова –  літера «О»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581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Убиральня – літера «Р»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ТП – літера «С»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52,3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Електропідстанція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604,2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2413,5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596,3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зруйнована та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978,7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Частина б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удівл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зруйнована та фактично відсутня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інша частина в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аварійн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ому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(зруйнована покрівля та стіни)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Прохідна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від 27.01.1995р. №121 про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Використовується товариством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Цех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547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767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«Т»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«У»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«Ф»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«Х»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286,6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зареєстро-вано за товарист-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Гуртожиток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126,4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Гуртожитки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Проживання працівників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 відсутні.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101,9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Вбиральня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230,9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48,2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Побу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товой корпус з 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ми цехами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Степова, 9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2424,6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промислові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Промисловий цех – літера «А1»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Будівельний цех – літера «А2»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«А3»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1667,9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«А4»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644,5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Компресорна – літера «А5»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859,3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й 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3630,1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Аварійний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Лабораторія  -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1379,1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227,3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Адміністративний корпус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562,7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229,0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Станція перекачки масла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58,0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Градирня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Основна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Миколаївська дорога, 142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</w:tbl>
    <w:p w:rsidR="00DF520B" w:rsidRPr="00781200" w:rsidRDefault="00DF520B" w:rsidP="00781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*Відомості про об’єкти нерухомого майна наведено за інформацією ПАТ МВО «Оріон».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**Правовстановлюючі д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окументи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нерухомого майна 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ПАТ МВО «Оріон»  відсутні.</w:t>
      </w:r>
    </w:p>
    <w:p w:rsidR="00781200" w:rsidRPr="00177E18" w:rsidRDefault="00781200" w:rsidP="00781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***За інформацією ПАТ МВО «Оріон» Товариство не здійснювало відчуження нерухомого майна за адресою м. Одеса, вул. Болгарська, 80, але в рамках кримінального провадження №42002116000000545 досліджується факт реєстрації права власності на нерухоме майно  за адресою м. Одеса, вул. Болгарська, 80/1.</w:t>
      </w:r>
    </w:p>
    <w:p w:rsidR="00872385" w:rsidRPr="00BB46EE" w:rsidRDefault="00872385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0CEE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Відомості про земельні ділянки:</w:t>
      </w:r>
    </w:p>
    <w:p w:rsidR="00D67BB6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872385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1840"/>
        <w:gridCol w:w="1221"/>
        <w:gridCol w:w="1747"/>
        <w:gridCol w:w="2103"/>
        <w:gridCol w:w="1637"/>
      </w:tblGrid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Адреса розташування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Площа земельної ділянки (м. кв)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7873D1" w:rsidRPr="00725505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№3</w:t>
            </w:r>
          </w:p>
        </w:tc>
        <w:tc>
          <w:tcPr>
            <w:tcW w:w="1840" w:type="dxa"/>
          </w:tcPr>
          <w:p w:rsidR="00975266" w:rsidRPr="00A444B1" w:rsidRDefault="00975266" w:rsidP="00A44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Житомирська (Ак. Гаркавого), 6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46200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05.04.1979 №255 та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71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9278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A102E0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80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3321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№1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Степова, 9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24770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15.02.1973 №118 та від 04.01.1962 №13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водної станції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Миколаївська дорога, 142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16.11.1967 №814 про відвід землі</w:t>
            </w:r>
          </w:p>
        </w:tc>
      </w:tr>
    </w:tbl>
    <w:p w:rsidR="00975266" w:rsidRPr="00EA4A54" w:rsidRDefault="00975266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171B3" w:rsidRDefault="00C171B3" w:rsidP="00C17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 Єдиному реєстрі заборон відчуження об’єктів нерухомого майна наявна запис про заборону відчуження нерухомого майна  товариства (реєстраційний номер обтяження 1605017).</w:t>
      </w:r>
    </w:p>
    <w:p w:rsidR="00EA4A54" w:rsidRDefault="00EA4A54" w:rsidP="00DD5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5266" w:rsidRPr="00B779AE" w:rsidRDefault="004C710B" w:rsidP="00C171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Перелік майна, яке</w:t>
      </w:r>
      <w:r w:rsidR="002F0D3B" w:rsidRPr="00B77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передано в оренду станом на  30</w:t>
      </w: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0B30A4" w:rsidRPr="00B779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630EC" w:rsidRPr="004C710B" w:rsidRDefault="009630EC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10207" w:type="dxa"/>
        <w:jc w:val="center"/>
        <w:tblInd w:w="-601" w:type="dxa"/>
        <w:tblLayout w:type="fixed"/>
        <w:tblLook w:val="04A0"/>
      </w:tblPr>
      <w:tblGrid>
        <w:gridCol w:w="567"/>
        <w:gridCol w:w="1702"/>
        <w:gridCol w:w="1417"/>
        <w:gridCol w:w="992"/>
        <w:gridCol w:w="1276"/>
        <w:gridCol w:w="1275"/>
        <w:gridCol w:w="992"/>
        <w:gridCol w:w="1134"/>
        <w:gridCol w:w="852"/>
      </w:tblGrid>
      <w:tr w:rsidR="009630EC" w:rsidRPr="009630EC" w:rsidTr="005501F6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НазваОб'єктаоренди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Орендованаплоща,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Цільовепризначенняоренди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Реквізитидоговру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Терміндії договору оренди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за 1 кв.м. за місяць без ПДВ грн.</w:t>
            </w:r>
          </w:p>
        </w:tc>
      </w:tr>
      <w:tr w:rsidR="009630EC" w:rsidRPr="009630EC" w:rsidTr="005501F6">
        <w:trPr>
          <w:trHeight w:val="6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Арабаджи М.М.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Асратян Н.Р.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Барановський К.О.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офіснеприміщення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02/05/18-2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01/06/18-1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Буньков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Вартанян Левон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 І.Е.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ВАС-ТРАНС.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 УкраїнаПрАТ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01/10/16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Гайдученко В.П.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Гардель О.А.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Шиномонтаж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Голубятников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Прийманнявторсировини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Гуменюк Г.О.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ЕДВАНС ТЕХНОЛОДЖИ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Журавлев С.О.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Зінов'єв В.Ю.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Іванова Н.А.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Інтертелеком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Кавалєров Є.О.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Канівець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КиївстарПрАТ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168818А15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Кліщенко Д.М.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Кожушный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Корячко С.О.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Кройтор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Куневич Л.Л.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Лисенко В.Ю.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Лісинецький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Люлька В.Л.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Лянгасов Є.М.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Маценко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Мєрєуца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Михайловський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9630EC" w:rsidRPr="009630EC" w:rsidTr="005501F6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Монін С.В.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Нізамов В.Р.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 ДІЛО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 Є.І.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Османов Я.Б.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Павенко Наталія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ПАЛЛЕТЕКС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Перпері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ПЕЙНТ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Перепелиця С.М.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Піддубровський П.О.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Пічурін М.Б.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Політова І.С.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Польнюк О.М.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РУВ ТРАНС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К.Ч.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Семенков С.С.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 ВИТАТЕХ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Скопенко Л.В.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А.Ф.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Станчуляк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Темчук П.А.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01.04.2015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Тертишник П.В.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Умрихін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Федюк В.І.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Хрущев І.В.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 ТхіБі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Чобанян Г.К.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Шинкарук П.В.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 Д.А.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ВОЛНА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Яремчук Ю.Б.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</w:tbl>
    <w:p w:rsidR="008F7513" w:rsidRPr="00BB46EE" w:rsidRDefault="008F7513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DB6A39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балансі товари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ства 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перебувають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об’єкти, що не підлягають приватизації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а саме: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594"/>
        <w:gridCol w:w="4502"/>
      </w:tblGrid>
      <w:tr w:rsidR="007873D1" w:rsidRPr="007873D1" w:rsidTr="007873D1">
        <w:tc>
          <w:tcPr>
            <w:tcW w:w="759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594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02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94" w:type="dxa"/>
          </w:tcPr>
          <w:p w:rsidR="000B30A4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Бомбосховище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виробництва №3</w:t>
            </w:r>
            <w:r w:rsidR="00466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 саме:</w:t>
            </w:r>
          </w:p>
          <w:p w:rsidR="00466B90" w:rsidRPr="007873D1" w:rsidRDefault="00466B9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бомбосховище №56447, окремо розташована споруда 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  <w:r w:rsidR="002361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94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 виробництва №1</w:t>
            </w:r>
            <w:r w:rsidR="00466B90"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</w:t>
            </w:r>
          </w:p>
          <w:p w:rsidR="00466B90" w:rsidRPr="002361B0" w:rsidRDefault="00466B90" w:rsidP="00466B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№56422, розташоване частково під будівлею літ. «Е»</w:t>
            </w:r>
          </w:p>
        </w:tc>
        <w:tc>
          <w:tcPr>
            <w:tcW w:w="4502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4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Магазин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94" w:type="dxa"/>
          </w:tcPr>
          <w:p w:rsidR="000B30A4" w:rsidRPr="007873D1" w:rsidRDefault="000E3A1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Освітлення зовнішнє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виробництва №1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94" w:type="dxa"/>
          </w:tcPr>
          <w:p w:rsidR="00A13E6B" w:rsidRPr="007873D1" w:rsidRDefault="007873D1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Зовнішні кабельні мережі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високовольтні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Зовнішнє освітлення виробництва №3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Перекладка водопроводу Д-1200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№1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№2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Бол</w:t>
            </w:r>
            <w:r w:rsidR="00DB0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арська, 71/80</w:t>
            </w:r>
          </w:p>
        </w:tc>
      </w:tr>
    </w:tbl>
    <w:p w:rsidR="00C171B3" w:rsidRDefault="00C171B3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30A4" w:rsidRPr="00D35451" w:rsidRDefault="00D35451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 МВО «Оріон» не має шкідливого виробництва, не здійснює викидів та скидів забруднюючих речовин  у природне навколишнє середовище, утворення та розміщення відходів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F7513" w:rsidRPr="00BB46EE" w:rsidRDefault="008F7513" w:rsidP="002E611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аукціон.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Спосіб проведення аукціону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АУКЦІОН З УМОВАМИ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Дата та час проведення аукціону: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10</w:t>
      </w:r>
      <w:r w:rsidR="00305C54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жовтня</w:t>
      </w:r>
      <w:r w:rsid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2022</w:t>
      </w:r>
      <w:r w:rsidRP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року.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6266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дату та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час його проведення.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 умовами, 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B449E" w:rsidRPr="00BB46EE" w:rsidRDefault="00DB449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3. </w:t>
      </w:r>
      <w:r w:rsid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умови, на яких здійснюється приватизація об’єкта.</w:t>
      </w:r>
    </w:p>
    <w:p w:rsidR="008F7513" w:rsidRDefault="008F7513" w:rsidP="00DB4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Приватизація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у кількості 2883281 штук, що становить  50%  статутного капіталу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здійснюється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Закон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«Про приватизацію державного і комунального майна»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«Про внесення змін до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деяких законодавчих актів України щодо сприяння процесам релокації підприємств в 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умовах 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оєнного стану та економічного відновлення держави»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 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(із змінами).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Покупець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имог статті 20 Закону України «П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 приватизацію державного і комунального майна» у випадках, передбачених законодавством про захист економічної конкуренції, покупець зоб</w:t>
      </w:r>
      <w:r w:rsidR="00512F2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ов’язаний отримати дозвіл А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нтимонопольного комітету України на безпосереднє або опосередковане придбання у власність 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акцій у розмірі, що забезпечує досягнення чи перевищення 25 або 50 відсотків голосів у вищому органі управління відповідного суб’єкту господарювання (далі – дозвіл на концентрацію).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Порядок подання та розгляду заяви про надання дозволу на концентрацію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встановлюється законодавством про захист економічної конкуренції.</w:t>
      </w:r>
    </w:p>
    <w:p w:rsidR="00993635" w:rsidRPr="00993635" w:rsidRDefault="00993635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Об’єкт приватизації може бути придбаний за рахунок залучених (кредитних) коштів. У разі придбання об’єкта приватизації за рахунок залучених коштів  переможець аукціону повинен також подати інформацію про відповідного кредитора, а також документальне підтвердження, що такий кредитор бажає розглянути можливість надання відповідного обсягу фінансування. Кредитором не може бути особа, яка не може бути покупцем відповідно до частини другої статті 8 цього Закону. 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Об’єкт приватизації, що є пакетом цінних паперів, може бути придбаний професійним учасником ринків капіталу, який діє в інтересах свого клієнта. У такому разі покупець повинен також подати інформацію про клієнта, в інтересах якого він діє, в обсязі, передбаченому цим Законом для покупця, а також копію договору із клієнтом.</w:t>
      </w:r>
    </w:p>
    <w:p w:rsidR="001D58D7" w:rsidRPr="00342DD1" w:rsidRDefault="00342DD1" w:rsidP="001D58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="001D58D7" w:rsidRPr="00342DD1">
        <w:rPr>
          <w:rFonts w:ascii="Times New Roman" w:hAnsi="Times New Roman" w:cs="Times New Roman"/>
          <w:sz w:val="24"/>
          <w:szCs w:val="24"/>
        </w:rPr>
        <w:t>Покупець пакета акцій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D58D7" w:rsidRPr="00342DD1">
        <w:rPr>
          <w:rFonts w:ascii="Times New Roman" w:hAnsi="Times New Roman" w:cs="Times New Roman"/>
          <w:sz w:val="24"/>
          <w:szCs w:val="24"/>
        </w:rPr>
        <w:t>АТ "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МВО «Оріон»</w:t>
      </w:r>
      <w:r w:rsidR="004251C6">
        <w:rPr>
          <w:rFonts w:ascii="Times New Roman" w:hAnsi="Times New Roman" w:cs="Times New Roman"/>
          <w:sz w:val="24"/>
          <w:szCs w:val="24"/>
        </w:rPr>
        <w:t>"</w:t>
      </w:r>
      <w:r w:rsidR="001D58D7" w:rsidRPr="00342DD1">
        <w:rPr>
          <w:rFonts w:ascii="Times New Roman" w:hAnsi="Times New Roman" w:cs="Times New Roman"/>
          <w:sz w:val="24"/>
          <w:szCs w:val="24"/>
        </w:rPr>
        <w:t xml:space="preserve"> повинен мати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відкритий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рахунок у цінних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паперах у обраній ним депозитарній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установі.</w:t>
      </w:r>
    </w:p>
    <w:p w:rsidR="008F7513" w:rsidRPr="00BB46EE" w:rsidRDefault="001D58D7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тартова ціна об’єкта </w:t>
      </w:r>
      <w:r w:rsidR="002D537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приватизації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для:</w:t>
      </w:r>
    </w:p>
    <w:p w:rsidR="008F7513" w:rsidRPr="00725505" w:rsidRDefault="008F7513" w:rsidP="00466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="00512318"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="000934DC">
        <w:rPr>
          <w:rFonts w:ascii="Times New Roman" w:hAnsi="Times New Roman" w:cs="Times New Roman"/>
          <w:color w:val="000000"/>
          <w:lang w:val="uk-UA" w:eastAsia="ru-RU"/>
        </w:rPr>
        <w:t>7 420</w:t>
      </w:r>
      <w:r w:rsidR="00392DA9">
        <w:rPr>
          <w:rFonts w:ascii="Times New Roman" w:hAnsi="Times New Roman" w:cs="Times New Roman"/>
          <w:color w:val="000000"/>
          <w:lang w:val="uk-UA" w:eastAsia="ru-RU"/>
        </w:rPr>
        <w:t xml:space="preserve"> 784</w:t>
      </w:r>
      <w:r w:rsidR="00106CB7">
        <w:rPr>
          <w:rFonts w:ascii="Times New Roman" w:hAnsi="Times New Roman" w:cs="Times New Roman"/>
          <w:color w:val="000000"/>
          <w:lang w:val="uk-UA" w:eastAsia="ru-RU"/>
        </w:rPr>
        <w:t>,</w:t>
      </w:r>
      <w:r w:rsidR="00106CB7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92DA9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725505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Pr="00BB46EE" w:rsidRDefault="008F7513" w:rsidP="00466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3 7103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92,08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693C6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за методом покрокового зниження стартової ціни та подальшого подання цінових пропозицій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3 710 392,08</w:t>
      </w:r>
      <w:r w:rsidR="002040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A05ADF" w:rsidRDefault="00B5202D" w:rsidP="00DB44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8F7513" w:rsidRPr="00BB46EE" w:rsidRDefault="008F7513" w:rsidP="00F60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Розмір гарантійного внеску </w:t>
      </w:r>
      <w:r w:rsidRPr="00710D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для: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умов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1 48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4156,83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0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зі зниженням стартової ціни –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742 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742 </w:t>
      </w:r>
      <w:r w:rsidR="00531C97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7043" w:rsidRPr="00DF7043" w:rsidRDefault="00C171B3" w:rsidP="00DF70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разі, якщо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два аукціони з продажу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пакета акцій ПАТ МВО «Оріон» 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будуть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визнані такими,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 не відбулися, у випадках, передбачених абзацом третім частини шостої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статті 15 Закону України «Про приватизацію державного і комунального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майна», розмір гарантійного внеску встановлюється в розмірі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DF7043" w:rsidRP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50 відсотків стар</w:t>
      </w:r>
      <w:r w:rsidR="00C171B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тової ціни 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б’єкта приватизації.</w:t>
      </w:r>
    </w:p>
    <w:p w:rsidR="00DF7043" w:rsidRPr="00EA4A54" w:rsidRDefault="00DF7043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513" w:rsidRPr="00BB46EE" w:rsidRDefault="00281987" w:rsidP="00FD65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Розмір реєстраційного внеску: 13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00 гривень.</w:t>
      </w:r>
    </w:p>
    <w:p w:rsidR="00FD6540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D6540" w:rsidRPr="00BB46EE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A61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 ПРОДАЖУ:</w:t>
      </w:r>
    </w:p>
    <w:p w:rsidR="00910BB9" w:rsidRDefault="00910BB9" w:rsidP="00910BB9">
      <w:pPr>
        <w:shd w:val="clear" w:color="auto" w:fill="FFFFFF"/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5E0C" w:rsidRPr="00B52CDD" w:rsidRDefault="00FB1E2C" w:rsidP="00B52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Покупець  державного пакета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акцій ПАТ МВО «Оріон» зобов’язаний </w:t>
      </w:r>
      <w:r w:rsidR="00035C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 дати переходу права власності 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забезпечити:</w:t>
      </w:r>
    </w:p>
    <w:p w:rsidR="00035C56" w:rsidRPr="00035C56" w:rsidRDefault="00035C56" w:rsidP="00035C56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1) погашення протягом 6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місяців 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заборгованості Товариства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заробітної плати, перед</w:t>
      </w:r>
    </w:p>
    <w:p w:rsidR="00035C56" w:rsidRPr="00EA4A54" w:rsidRDefault="00035C56" w:rsidP="0003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бюджетом у разі їх наявності на дату переходу до покупця</w:t>
      </w:r>
      <w:r w:rsidR="004B4E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права власності на пакет акцій</w:t>
      </w:r>
      <w:r w:rsidR="004B4E3F" w:rsidRPr="008B3C01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D537E" w:rsidRPr="0021730B" w:rsidRDefault="00035C56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2) </w:t>
      </w:r>
      <w:r w:rsidR="008B3C01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недопущення звільнення працівників ПАТ МВО «Оріон»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ініціативи нового власника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 уповноваженого ним органу (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за винятком вчинення працівником дій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які передбачено звільнення на підставі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пунктів 3,4,7,8 частини першої ст. 40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статті 41 Кодексу законів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працю) протягом 6 місяців. </w:t>
      </w:r>
    </w:p>
    <w:p w:rsidR="00910BB9" w:rsidRPr="00A66500" w:rsidRDefault="008B3C01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359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3) </w:t>
      </w:r>
      <w:r w:rsidR="00910BB9" w:rsidRPr="00910BB9">
        <w:rPr>
          <w:rFonts w:ascii="Times New Roman" w:hAnsi="Times New Roman" w:cs="Times New Roman"/>
          <w:sz w:val="24"/>
          <w:szCs w:val="24"/>
          <w:lang w:val="uk-UA" w:eastAsia="ru-RU"/>
        </w:rPr>
        <w:t>забезпечити</w:t>
      </w:r>
      <w:r w:rsidR="00305C5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8359D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протягом трьох років 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утримання захисних споруд цивільного захисту у готовності до використання за призначенням за рахунок коштів товариства 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пункту 8 статті 32 Кодексу цивільного захисту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840595" w:rsidRPr="00BB46EE" w:rsidRDefault="00840595" w:rsidP="00840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D706E3" w:rsidRDefault="008F7513" w:rsidP="00D706E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Додаткова інформація.</w:t>
      </w:r>
    </w:p>
    <w:p w:rsidR="007028EF" w:rsidRPr="007028EF" w:rsidRDefault="007028EF" w:rsidP="007028EF">
      <w:pPr>
        <w:pStyle w:val="31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та ідентифікаційні коди за ЄДРПОУ одержувачів платежів, номери банківських та казначейських рахунків за стандартом 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7028EF" w:rsidRPr="007028EF" w:rsidRDefault="007028EF" w:rsidP="007028EF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7028EF">
        <w:rPr>
          <w:rFonts w:ascii="Times New Roman" w:hAnsi="Times New Roman"/>
          <w:spacing w:val="0"/>
          <w:sz w:val="24"/>
          <w:szCs w:val="24"/>
        </w:rPr>
        <w:t>Оператор електронного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майданчика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здійснює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перерахування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гарантійного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(за вирахуванням плати за участь в електронному</w:t>
      </w:r>
      <w:r w:rsidR="000D3AEB">
        <w:rPr>
          <w:rFonts w:ascii="Times New Roman" w:hAnsi="Times New Roman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аукціоні)</w:t>
      </w:r>
      <w:r w:rsidRPr="007028EF">
        <w:rPr>
          <w:rFonts w:ascii="Times New Roman" w:hAnsi="Times New Roman"/>
          <w:spacing w:val="0"/>
          <w:sz w:val="24"/>
          <w:szCs w:val="24"/>
        </w:rPr>
        <w:t>та реєстраційного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внесків на казначейські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рахунки за такими реквізитами: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 національній валюті: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Одержувач: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118201720355589002000163735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(для перерахування реєстраційного внеску,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плати за участь в електронному аукціоні та проведення переможцем аукціону розрахунків за</w:t>
      </w:r>
      <w:r w:rsidR="000D3A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придбаний об’єкт приватизації).</w:t>
      </w:r>
    </w:p>
    <w:p w:rsidR="008F7513" w:rsidRPr="00605B46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pacing w:val="4"/>
          <w:sz w:val="24"/>
          <w:szCs w:val="24"/>
        </w:rPr>
        <w:t>UA888201720355229002001163735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(для перерахування гарантійного внеску (за вирахуванням плати за участь в</w:t>
      </w:r>
      <w:r w:rsidR="000D3AEB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електронному аукціоні))</w:t>
      </w:r>
    </w:p>
    <w:p w:rsidR="008F7513" w:rsidRPr="00605B46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Банк:</w:t>
      </w:r>
      <w:r w:rsidRPr="00605B46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8F7513" w:rsidRDefault="008F7513" w:rsidP="00466E32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Код за ЄДРПОУ: </w:t>
      </w:r>
      <w:r w:rsidRPr="00605B46">
        <w:rPr>
          <w:rFonts w:ascii="Times New Roman" w:hAnsi="Times New Roman" w:cs="Times New Roman"/>
          <w:sz w:val="24"/>
          <w:szCs w:val="24"/>
          <w:lang w:val="uk-UA"/>
        </w:rPr>
        <w:t>43015722</w:t>
      </w:r>
    </w:p>
    <w:p w:rsidR="000C158E" w:rsidRPr="00605B46" w:rsidRDefault="000C158E" w:rsidP="000C158E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58E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платежу: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 вказати за що та за який об’єкт</w:t>
      </w:r>
      <w:r w:rsidR="000D3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>перераховуються кошти).</w:t>
      </w:r>
    </w:p>
    <w:p w:rsidR="008F7513" w:rsidRPr="00605B46" w:rsidRDefault="008F7513" w:rsidP="00466E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05B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u w:val="single"/>
          <w:lang w:val="uk-UA"/>
        </w:rPr>
        <w:t>в іноземній валюті: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uk-UA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Beneficiary: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 Regional branch of the State Property Fund of Ukraine in </w:t>
      </w:r>
      <w:smartTag w:uri="urn:schemas-microsoft-com:office:smarttags" w:element="City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Odessa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and Mykolayiv regions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USD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Account </w:t>
      </w:r>
      <w:r w:rsidRPr="00F64D39">
        <w:rPr>
          <w:rFonts w:ascii="Times New Roman" w:hAnsi="Times New Roman"/>
          <w:b/>
          <w:sz w:val="24"/>
          <w:szCs w:val="24"/>
          <w:lang w:val="en-US"/>
        </w:rPr>
        <w:t>№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JP Morgan Chase Bank N.A., </w:t>
      </w:r>
      <w:smartTag w:uri="urn:schemas-microsoft-com:office:smarttags" w:element="State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 xml:space="preserve">SWIFT: CHAS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33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EUR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Account №UA833223130000025301000000279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Deutsche Bank AG, Frankfurt am Main 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>SWIFT: DEUT DE FF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Purpose of payment: (please, indicat without fail the purpose of payment)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62FDF" w:rsidRDefault="000C158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рахунків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операторів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електронних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майданчиків, відкритих для сплати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потенційними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покупцями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гарантійних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та реєстраційних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внесків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розміщено за посиланням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sale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elektronni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majdanchiki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ets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prozorroprodazhi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cbd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2</w:t>
        </w:r>
      </w:hyperlink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F7513" w:rsidRPr="00272875" w:rsidRDefault="008F7513" w:rsidP="000C158E">
      <w:pPr>
        <w:spacing w:after="0" w:line="240" w:lineRule="auto"/>
        <w:ind w:firstLine="708"/>
        <w:jc w:val="both"/>
        <w:rPr>
          <w:rStyle w:val="a5"/>
          <w:color w:val="auto"/>
        </w:rPr>
      </w:pP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</w:t>
      </w:r>
      <w:r w:rsidR="00CE071B"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ів ПАТ МВО «Оріон»</w:t>
      </w: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робочі дні за місцем розташування об’єкта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(м. Одеса, вул. Житоми</w:t>
      </w:r>
      <w:r w:rsidR="00CB358A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рська, 6)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9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17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Контактна особа: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Ковальчук К.А.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моб. (0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50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826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74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66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B8E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Е-mail:</w:t>
      </w:r>
      <w:r w:rsidR="00305C54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272875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orion-ur@ukr.net</w:t>
      </w:r>
    </w:p>
    <w:p w:rsidR="008F7513" w:rsidRPr="00272875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Телефон для довідок: (048) 731-40-43, (048) 731-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40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51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Е-mail:</w:t>
      </w:r>
      <w:r w:rsidR="000D3A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Pr="002728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</w:p>
    <w:p w:rsidR="008F7513" w:rsidRPr="00CB358A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CB358A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аукціону: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Регіональне відділення ФДМУ по Одеській та Миколаївській областях. Адреса: 65048, м. Одеса, вул. Велика Арнаутська, 15, к. 1106 тел. (048) 731-50-28,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436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 роботи Регіонального відділення з 8.00 до 17.00 (крім вихідних), у п’ятницю – з 8.00 до 15.45, обідня перерва з 12.00 до 12.45. Адреса електронної пошти: </w:t>
      </w:r>
      <w:hyperlink r:id="rId10" w:history="1">
        <w:r w:rsidRPr="00605B4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  <w:r w:rsidR="00272875">
        <w:rPr>
          <w:rFonts w:ascii="Times New Roman" w:hAnsi="Times New Roman" w:cs="Times New Roman"/>
          <w:sz w:val="24"/>
          <w:szCs w:val="24"/>
          <w:lang w:val="uk-UA" w:eastAsia="ru-RU"/>
        </w:rPr>
        <w:t>, адреса веб-сайту – http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>://www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.spfu.gov.ua/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Дата і номер рішення  органу приватизації про затвердження умов продажу об’єкта приватизації: наказом Регіонального відділення ФДМУ по Одеській та Миколаївській областях  від </w:t>
      </w:r>
      <w:r w:rsidR="00414EF8" w:rsidRPr="00414EF8">
        <w:rPr>
          <w:rFonts w:ascii="Times New Roman" w:hAnsi="Times New Roman" w:cs="Times New Roman"/>
          <w:color w:val="00B0F0"/>
          <w:sz w:val="24"/>
          <w:szCs w:val="24"/>
          <w:lang w:val="uk-UA" w:eastAsia="ru-RU"/>
        </w:rPr>
        <w:t>ХХХХХХХХ</w:t>
      </w:r>
      <w:r w:rsidRPr="00414EF8">
        <w:rPr>
          <w:rFonts w:ascii="Times New Roman" w:hAnsi="Times New Roman" w:cs="Times New Roman"/>
          <w:color w:val="00B0F0"/>
          <w:sz w:val="24"/>
          <w:szCs w:val="24"/>
          <w:lang w:val="uk-UA" w:eastAsia="ru-RU"/>
        </w:rPr>
        <w:t xml:space="preserve">  № </w:t>
      </w:r>
      <w:r w:rsidR="00414EF8" w:rsidRPr="00414EF8">
        <w:rPr>
          <w:rFonts w:ascii="Times New Roman" w:hAnsi="Times New Roman" w:cs="Times New Roman"/>
          <w:color w:val="00B0F0"/>
          <w:sz w:val="24"/>
          <w:szCs w:val="24"/>
          <w:lang w:val="uk-UA" w:eastAsia="ru-RU"/>
        </w:rPr>
        <w:t>ХХХХХХ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F7513" w:rsidRPr="00BB46EE" w:rsidRDefault="008F7513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Унікальний код, присвоєний об’єкту приватизації під час публікації                 переліку об’єктів, що підлягають приватизації, в електронній торговій системі</w:t>
      </w:r>
      <w:r w:rsidRPr="00BB46EE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E71745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                           </w:t>
      </w:r>
      <w:r w:rsid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</w:rPr>
        <w:t>UA</w:t>
      </w:r>
      <w:r w:rsidR="00414EF8" w:rsidRP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  <w:lang w:val="uk-UA"/>
        </w:rPr>
        <w:t>-</w:t>
      </w:r>
      <w:r w:rsid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</w:rPr>
        <w:t>AR</w:t>
      </w:r>
      <w:r w:rsidR="00414EF8" w:rsidRP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  <w:lang w:val="uk-UA"/>
        </w:rPr>
        <w:t>-</w:t>
      </w:r>
      <w:r w:rsid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</w:rPr>
        <w:t>P</w:t>
      </w:r>
      <w:r w:rsidR="00414EF8" w:rsidRPr="00414EF8">
        <w:rPr>
          <w:rFonts w:ascii="Segoe UI" w:hAnsi="Segoe UI" w:cs="Segoe UI"/>
          <w:b/>
          <w:bCs/>
          <w:color w:val="295EAF"/>
          <w:sz w:val="19"/>
          <w:szCs w:val="19"/>
          <w:shd w:val="clear" w:color="auto" w:fill="E8F0FE"/>
          <w:lang w:val="uk-UA"/>
        </w:rPr>
        <w:t>-2022-01-20-000001-1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E35570" w:rsidRPr="00BB46EE" w:rsidRDefault="00E3557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Період між аукціон</w:t>
      </w:r>
      <w:r w:rsidR="00E35570"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0C158E" w:rsidRP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умовами - </w:t>
      </w:r>
      <w:bookmarkStart w:id="1" w:name="_Hlk80874951"/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</w:t>
      </w:r>
      <w:bookmarkEnd w:id="1"/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B5202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днів від дати оголошення аукціону;</w:t>
      </w:r>
    </w:p>
    <w:p w:rsidR="000C158E" w:rsidRPr="000C158E" w:rsidRDefault="002F7524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 зі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 </w:t>
      </w:r>
      <w:r w:rsidR="000F029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аукціон за методом покрокового зниження стартової ціни та подальшого подання цінових пропозицій – </w:t>
      </w:r>
      <w:r w:rsidR="00A05AD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</w:t>
      </w:r>
      <w:r w:rsid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 від дати оголошення аукціону.</w:t>
      </w:r>
    </w:p>
    <w:p w:rsidR="000F0295" w:rsidRPr="00BB46EE" w:rsidRDefault="000F0295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Крок</w:t>
      </w:r>
      <w:r w:rsidR="00E76A6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(мінімальний)</w:t>
      </w: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аукціону для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05ADF" w:rsidRPr="00BB46EE" w:rsidRDefault="00A05ADF" w:rsidP="00704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1C97" w:rsidRPr="00BB46EE" w:rsidRDefault="00531C97" w:rsidP="00531C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74 207,84</w:t>
      </w:r>
      <w:r w:rsidR="004632E7"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 </w:t>
      </w:r>
    </w:p>
    <w:p w:rsidR="00531C97" w:rsidRPr="00BB46EE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31C97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Місце проведення аукціону: аукціони будуть проведені в електронній торговій системі «ПРОЗОРРО.ПРОДАЖІ» (адміністратор).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8F7513" w:rsidRDefault="00FF0D40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hyperlink r:id="rId11" w:history="1"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://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.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sale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elektronni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majdanchiki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ets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prozorroprodazhi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cbd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2</w:t>
        </w:r>
      </w:hyperlink>
      <w:r w:rsidR="008F7513" w:rsidRPr="00BB46EE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”</w:t>
      </w:r>
    </w:p>
    <w:p w:rsidR="00414EF8" w:rsidRDefault="00414EF8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sectPr w:rsidR="00414EF8" w:rsidSect="00601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EF" w:rsidRDefault="002812EF" w:rsidP="00E222D3">
      <w:pPr>
        <w:spacing w:after="0" w:line="240" w:lineRule="auto"/>
      </w:pPr>
      <w:r>
        <w:separator/>
      </w:r>
    </w:p>
  </w:endnote>
  <w:endnote w:type="continuationSeparator" w:id="1">
    <w:p w:rsidR="002812EF" w:rsidRDefault="002812EF" w:rsidP="00E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EF" w:rsidRDefault="002812EF" w:rsidP="00E222D3">
      <w:pPr>
        <w:spacing w:after="0" w:line="240" w:lineRule="auto"/>
      </w:pPr>
      <w:r>
        <w:separator/>
      </w:r>
    </w:p>
  </w:footnote>
  <w:footnote w:type="continuationSeparator" w:id="1">
    <w:p w:rsidR="002812EF" w:rsidRDefault="002812EF" w:rsidP="00E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73561"/>
      <w:docPartObj>
        <w:docPartGallery w:val="Page Numbers (Top of Page)"/>
        <w:docPartUnique/>
      </w:docPartObj>
    </w:sdtPr>
    <w:sdtContent>
      <w:p w:rsidR="00BD5638" w:rsidRDefault="00FF0D40">
        <w:pPr>
          <w:pStyle w:val="a8"/>
          <w:jc w:val="right"/>
        </w:pPr>
        <w:fldSimple w:instr=" PAGE   \* MERGEFORMAT ">
          <w:r w:rsidR="0044369D">
            <w:rPr>
              <w:noProof/>
            </w:rPr>
            <w:t>6</w:t>
          </w:r>
        </w:fldSimple>
      </w:p>
    </w:sdtContent>
  </w:sdt>
  <w:p w:rsidR="00BD5638" w:rsidRDefault="00BD56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C"/>
    <w:multiLevelType w:val="hybridMultilevel"/>
    <w:tmpl w:val="1BE6C7F4"/>
    <w:lvl w:ilvl="0" w:tplc="0B2846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90CC2"/>
    <w:multiLevelType w:val="hybridMultilevel"/>
    <w:tmpl w:val="1D04694A"/>
    <w:lvl w:ilvl="0" w:tplc="C2EC4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819FF"/>
    <w:multiLevelType w:val="hybridMultilevel"/>
    <w:tmpl w:val="6258576E"/>
    <w:lvl w:ilvl="0" w:tplc="EF147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14300"/>
    <w:multiLevelType w:val="hybridMultilevel"/>
    <w:tmpl w:val="547A3528"/>
    <w:lvl w:ilvl="0" w:tplc="A7FE3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345"/>
    <w:multiLevelType w:val="hybridMultilevel"/>
    <w:tmpl w:val="64DCA4B6"/>
    <w:lvl w:ilvl="0" w:tplc="BECC1A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CC1A75"/>
    <w:multiLevelType w:val="hybridMultilevel"/>
    <w:tmpl w:val="5E3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2421"/>
    <w:multiLevelType w:val="hybridMultilevel"/>
    <w:tmpl w:val="FC9EE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E63"/>
    <w:multiLevelType w:val="hybridMultilevel"/>
    <w:tmpl w:val="E6FCEBFA"/>
    <w:lvl w:ilvl="0" w:tplc="73B2D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E9348C"/>
    <w:multiLevelType w:val="hybridMultilevel"/>
    <w:tmpl w:val="A2E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4708"/>
    <w:multiLevelType w:val="hybridMultilevel"/>
    <w:tmpl w:val="8A043888"/>
    <w:lvl w:ilvl="0" w:tplc="744E3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1A03A3"/>
    <w:multiLevelType w:val="hybridMultilevel"/>
    <w:tmpl w:val="4B161012"/>
    <w:lvl w:ilvl="0" w:tplc="3F88D2AA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0AB"/>
    <w:rsid w:val="000017A5"/>
    <w:rsid w:val="00007619"/>
    <w:rsid w:val="0001157C"/>
    <w:rsid w:val="00014639"/>
    <w:rsid w:val="00016110"/>
    <w:rsid w:val="0002313B"/>
    <w:rsid w:val="0003150E"/>
    <w:rsid w:val="00035941"/>
    <w:rsid w:val="00035C56"/>
    <w:rsid w:val="00053806"/>
    <w:rsid w:val="000639CA"/>
    <w:rsid w:val="000643DC"/>
    <w:rsid w:val="00073E94"/>
    <w:rsid w:val="000757C4"/>
    <w:rsid w:val="00077B8E"/>
    <w:rsid w:val="00087F77"/>
    <w:rsid w:val="000934DC"/>
    <w:rsid w:val="00094370"/>
    <w:rsid w:val="0009485D"/>
    <w:rsid w:val="000A0E8E"/>
    <w:rsid w:val="000B30A4"/>
    <w:rsid w:val="000C158E"/>
    <w:rsid w:val="000D3172"/>
    <w:rsid w:val="000D3AEB"/>
    <w:rsid w:val="000D3F9E"/>
    <w:rsid w:val="000E3A10"/>
    <w:rsid w:val="000F0295"/>
    <w:rsid w:val="000F06EB"/>
    <w:rsid w:val="000F2F3F"/>
    <w:rsid w:val="000F53F5"/>
    <w:rsid w:val="00106CB7"/>
    <w:rsid w:val="00111E14"/>
    <w:rsid w:val="00115718"/>
    <w:rsid w:val="001232B1"/>
    <w:rsid w:val="00124586"/>
    <w:rsid w:val="00125D18"/>
    <w:rsid w:val="00125D4E"/>
    <w:rsid w:val="001275D8"/>
    <w:rsid w:val="00142F3A"/>
    <w:rsid w:val="00145475"/>
    <w:rsid w:val="00152239"/>
    <w:rsid w:val="00152C25"/>
    <w:rsid w:val="00156B5D"/>
    <w:rsid w:val="0016741E"/>
    <w:rsid w:val="00185CA3"/>
    <w:rsid w:val="0019080E"/>
    <w:rsid w:val="00196395"/>
    <w:rsid w:val="001B2707"/>
    <w:rsid w:val="001B3829"/>
    <w:rsid w:val="001B49BE"/>
    <w:rsid w:val="001C0F91"/>
    <w:rsid w:val="001C45F9"/>
    <w:rsid w:val="001D58D7"/>
    <w:rsid w:val="001D6F23"/>
    <w:rsid w:val="001F071D"/>
    <w:rsid w:val="001F19C7"/>
    <w:rsid w:val="002040F4"/>
    <w:rsid w:val="00204F58"/>
    <w:rsid w:val="00205E0C"/>
    <w:rsid w:val="00206389"/>
    <w:rsid w:val="00215834"/>
    <w:rsid w:val="0021730B"/>
    <w:rsid w:val="00221CF9"/>
    <w:rsid w:val="0022369C"/>
    <w:rsid w:val="0023109D"/>
    <w:rsid w:val="0023514A"/>
    <w:rsid w:val="002361B0"/>
    <w:rsid w:val="00237E46"/>
    <w:rsid w:val="0024318D"/>
    <w:rsid w:val="00247AA8"/>
    <w:rsid w:val="002568D0"/>
    <w:rsid w:val="0027191F"/>
    <w:rsid w:val="00272875"/>
    <w:rsid w:val="002740F6"/>
    <w:rsid w:val="002774F8"/>
    <w:rsid w:val="002812EF"/>
    <w:rsid w:val="00281987"/>
    <w:rsid w:val="0028359D"/>
    <w:rsid w:val="00297F2D"/>
    <w:rsid w:val="002B1719"/>
    <w:rsid w:val="002B2699"/>
    <w:rsid w:val="002C1B48"/>
    <w:rsid w:val="002D42BD"/>
    <w:rsid w:val="002D537E"/>
    <w:rsid w:val="002E6114"/>
    <w:rsid w:val="002F0D3B"/>
    <w:rsid w:val="002F369A"/>
    <w:rsid w:val="002F7524"/>
    <w:rsid w:val="00300099"/>
    <w:rsid w:val="003023A4"/>
    <w:rsid w:val="00305C54"/>
    <w:rsid w:val="003125DE"/>
    <w:rsid w:val="00342DD1"/>
    <w:rsid w:val="00343E75"/>
    <w:rsid w:val="003669BF"/>
    <w:rsid w:val="003720A4"/>
    <w:rsid w:val="00372DBA"/>
    <w:rsid w:val="00375C65"/>
    <w:rsid w:val="00377259"/>
    <w:rsid w:val="00377728"/>
    <w:rsid w:val="00386708"/>
    <w:rsid w:val="00391912"/>
    <w:rsid w:val="00392DA9"/>
    <w:rsid w:val="00396EE4"/>
    <w:rsid w:val="003B7BB6"/>
    <w:rsid w:val="003C3A8E"/>
    <w:rsid w:val="003C6BB3"/>
    <w:rsid w:val="003E1C9F"/>
    <w:rsid w:val="003E5A0C"/>
    <w:rsid w:val="003F3707"/>
    <w:rsid w:val="00406C4B"/>
    <w:rsid w:val="00412B67"/>
    <w:rsid w:val="00414EF8"/>
    <w:rsid w:val="004251C6"/>
    <w:rsid w:val="00431390"/>
    <w:rsid w:val="0044369D"/>
    <w:rsid w:val="0044394F"/>
    <w:rsid w:val="00457DEE"/>
    <w:rsid w:val="00460C8F"/>
    <w:rsid w:val="00462EE9"/>
    <w:rsid w:val="004632E7"/>
    <w:rsid w:val="00466B90"/>
    <w:rsid w:val="00466E32"/>
    <w:rsid w:val="00473FC4"/>
    <w:rsid w:val="00475EE4"/>
    <w:rsid w:val="004768F6"/>
    <w:rsid w:val="00476AAC"/>
    <w:rsid w:val="00477188"/>
    <w:rsid w:val="004804DF"/>
    <w:rsid w:val="00482CC4"/>
    <w:rsid w:val="00487E95"/>
    <w:rsid w:val="00491BAA"/>
    <w:rsid w:val="00493E82"/>
    <w:rsid w:val="004B4E3F"/>
    <w:rsid w:val="004C710B"/>
    <w:rsid w:val="004D2875"/>
    <w:rsid w:val="004D54A1"/>
    <w:rsid w:val="004D733D"/>
    <w:rsid w:val="004E0644"/>
    <w:rsid w:val="004E2D95"/>
    <w:rsid w:val="004E3C1D"/>
    <w:rsid w:val="004F50A7"/>
    <w:rsid w:val="0050063B"/>
    <w:rsid w:val="00501D6A"/>
    <w:rsid w:val="00503FF2"/>
    <w:rsid w:val="00507569"/>
    <w:rsid w:val="00511534"/>
    <w:rsid w:val="00511AB1"/>
    <w:rsid w:val="00512318"/>
    <w:rsid w:val="00512F21"/>
    <w:rsid w:val="00514A09"/>
    <w:rsid w:val="00521283"/>
    <w:rsid w:val="00531B39"/>
    <w:rsid w:val="00531C97"/>
    <w:rsid w:val="005361E2"/>
    <w:rsid w:val="00536BBA"/>
    <w:rsid w:val="00537B4D"/>
    <w:rsid w:val="005501F6"/>
    <w:rsid w:val="005520AB"/>
    <w:rsid w:val="0055532E"/>
    <w:rsid w:val="00570FDB"/>
    <w:rsid w:val="00573322"/>
    <w:rsid w:val="00594FFC"/>
    <w:rsid w:val="005955D3"/>
    <w:rsid w:val="005A171A"/>
    <w:rsid w:val="005B059C"/>
    <w:rsid w:val="005B2D70"/>
    <w:rsid w:val="005C59D9"/>
    <w:rsid w:val="005C68C7"/>
    <w:rsid w:val="005C6AE2"/>
    <w:rsid w:val="005D08C5"/>
    <w:rsid w:val="005D17C3"/>
    <w:rsid w:val="005D17E4"/>
    <w:rsid w:val="005D26FF"/>
    <w:rsid w:val="005D5608"/>
    <w:rsid w:val="005D7BD9"/>
    <w:rsid w:val="00601303"/>
    <w:rsid w:val="0060414F"/>
    <w:rsid w:val="00604870"/>
    <w:rsid w:val="00605B46"/>
    <w:rsid w:val="006212EC"/>
    <w:rsid w:val="006266CB"/>
    <w:rsid w:val="00630142"/>
    <w:rsid w:val="006301DE"/>
    <w:rsid w:val="006306B9"/>
    <w:rsid w:val="00650C0D"/>
    <w:rsid w:val="00651648"/>
    <w:rsid w:val="006533EB"/>
    <w:rsid w:val="00654A46"/>
    <w:rsid w:val="006654E9"/>
    <w:rsid w:val="00666C1E"/>
    <w:rsid w:val="00674551"/>
    <w:rsid w:val="00682537"/>
    <w:rsid w:val="00684B5E"/>
    <w:rsid w:val="00685301"/>
    <w:rsid w:val="0068628E"/>
    <w:rsid w:val="00690ED4"/>
    <w:rsid w:val="00693C6C"/>
    <w:rsid w:val="006A6DBB"/>
    <w:rsid w:val="006B3E8F"/>
    <w:rsid w:val="006C0055"/>
    <w:rsid w:val="006C03D3"/>
    <w:rsid w:val="006C2FA1"/>
    <w:rsid w:val="006F4C6F"/>
    <w:rsid w:val="007028EF"/>
    <w:rsid w:val="00704D99"/>
    <w:rsid w:val="00707A6F"/>
    <w:rsid w:val="00710D83"/>
    <w:rsid w:val="00713D35"/>
    <w:rsid w:val="00725505"/>
    <w:rsid w:val="00730678"/>
    <w:rsid w:val="00731934"/>
    <w:rsid w:val="00745D36"/>
    <w:rsid w:val="007469FD"/>
    <w:rsid w:val="0074754F"/>
    <w:rsid w:val="0076505F"/>
    <w:rsid w:val="00781200"/>
    <w:rsid w:val="007873D1"/>
    <w:rsid w:val="00793B89"/>
    <w:rsid w:val="00796134"/>
    <w:rsid w:val="00796AE7"/>
    <w:rsid w:val="007B3543"/>
    <w:rsid w:val="007D4F9E"/>
    <w:rsid w:val="007D7B99"/>
    <w:rsid w:val="007E05D2"/>
    <w:rsid w:val="007E2984"/>
    <w:rsid w:val="00802F0F"/>
    <w:rsid w:val="00803B02"/>
    <w:rsid w:val="008119A5"/>
    <w:rsid w:val="0082395C"/>
    <w:rsid w:val="00827EA9"/>
    <w:rsid w:val="0083656D"/>
    <w:rsid w:val="00840595"/>
    <w:rsid w:val="0084322A"/>
    <w:rsid w:val="00844065"/>
    <w:rsid w:val="00863E0B"/>
    <w:rsid w:val="00870A35"/>
    <w:rsid w:val="00872385"/>
    <w:rsid w:val="00880DFA"/>
    <w:rsid w:val="00886252"/>
    <w:rsid w:val="00890AEF"/>
    <w:rsid w:val="008928F1"/>
    <w:rsid w:val="008A7ECF"/>
    <w:rsid w:val="008B3C01"/>
    <w:rsid w:val="008B6D28"/>
    <w:rsid w:val="008D023D"/>
    <w:rsid w:val="008F1955"/>
    <w:rsid w:val="008F7513"/>
    <w:rsid w:val="00905543"/>
    <w:rsid w:val="00910BB9"/>
    <w:rsid w:val="009170AB"/>
    <w:rsid w:val="00940E58"/>
    <w:rsid w:val="00946276"/>
    <w:rsid w:val="0095052B"/>
    <w:rsid w:val="00952334"/>
    <w:rsid w:val="00954F65"/>
    <w:rsid w:val="00957054"/>
    <w:rsid w:val="00962812"/>
    <w:rsid w:val="00962FDF"/>
    <w:rsid w:val="009630EC"/>
    <w:rsid w:val="00967C9C"/>
    <w:rsid w:val="00975266"/>
    <w:rsid w:val="00981B8A"/>
    <w:rsid w:val="009850B2"/>
    <w:rsid w:val="00990BB6"/>
    <w:rsid w:val="009914CA"/>
    <w:rsid w:val="00993635"/>
    <w:rsid w:val="009A006E"/>
    <w:rsid w:val="009A06DD"/>
    <w:rsid w:val="009A32F8"/>
    <w:rsid w:val="009B64C5"/>
    <w:rsid w:val="009D0DF8"/>
    <w:rsid w:val="009D5190"/>
    <w:rsid w:val="009D60CD"/>
    <w:rsid w:val="009D7620"/>
    <w:rsid w:val="009E164A"/>
    <w:rsid w:val="009F33DF"/>
    <w:rsid w:val="00A01F56"/>
    <w:rsid w:val="00A03CC0"/>
    <w:rsid w:val="00A05ADF"/>
    <w:rsid w:val="00A102E0"/>
    <w:rsid w:val="00A123ED"/>
    <w:rsid w:val="00A13E6B"/>
    <w:rsid w:val="00A21A09"/>
    <w:rsid w:val="00A228AC"/>
    <w:rsid w:val="00A23089"/>
    <w:rsid w:val="00A27DE4"/>
    <w:rsid w:val="00A30075"/>
    <w:rsid w:val="00A3260A"/>
    <w:rsid w:val="00A363D3"/>
    <w:rsid w:val="00A37F85"/>
    <w:rsid w:val="00A444B1"/>
    <w:rsid w:val="00A54969"/>
    <w:rsid w:val="00A56900"/>
    <w:rsid w:val="00A611D2"/>
    <w:rsid w:val="00A615D4"/>
    <w:rsid w:val="00A7049D"/>
    <w:rsid w:val="00A80696"/>
    <w:rsid w:val="00A86A88"/>
    <w:rsid w:val="00A90E06"/>
    <w:rsid w:val="00A95C58"/>
    <w:rsid w:val="00A96904"/>
    <w:rsid w:val="00AB00BC"/>
    <w:rsid w:val="00AB386C"/>
    <w:rsid w:val="00AB6E17"/>
    <w:rsid w:val="00AC2335"/>
    <w:rsid w:val="00AC6D77"/>
    <w:rsid w:val="00AD02C7"/>
    <w:rsid w:val="00AD031E"/>
    <w:rsid w:val="00AD1F85"/>
    <w:rsid w:val="00AF1CA2"/>
    <w:rsid w:val="00AF7BCB"/>
    <w:rsid w:val="00B06D54"/>
    <w:rsid w:val="00B074E0"/>
    <w:rsid w:val="00B10B70"/>
    <w:rsid w:val="00B148CA"/>
    <w:rsid w:val="00B16E1B"/>
    <w:rsid w:val="00B254C3"/>
    <w:rsid w:val="00B26EB8"/>
    <w:rsid w:val="00B317C3"/>
    <w:rsid w:val="00B36E82"/>
    <w:rsid w:val="00B419C8"/>
    <w:rsid w:val="00B4514B"/>
    <w:rsid w:val="00B474B9"/>
    <w:rsid w:val="00B5202D"/>
    <w:rsid w:val="00B52CDD"/>
    <w:rsid w:val="00B72B2A"/>
    <w:rsid w:val="00B750D3"/>
    <w:rsid w:val="00B757E3"/>
    <w:rsid w:val="00B779AE"/>
    <w:rsid w:val="00B8059D"/>
    <w:rsid w:val="00BA5858"/>
    <w:rsid w:val="00BB46EE"/>
    <w:rsid w:val="00BB48F6"/>
    <w:rsid w:val="00BB50B8"/>
    <w:rsid w:val="00BB6AAD"/>
    <w:rsid w:val="00BC4A47"/>
    <w:rsid w:val="00BD5638"/>
    <w:rsid w:val="00BE0F6D"/>
    <w:rsid w:val="00BE7A8B"/>
    <w:rsid w:val="00C021C8"/>
    <w:rsid w:val="00C100D4"/>
    <w:rsid w:val="00C171B3"/>
    <w:rsid w:val="00C42969"/>
    <w:rsid w:val="00C43067"/>
    <w:rsid w:val="00C47A46"/>
    <w:rsid w:val="00C47E5F"/>
    <w:rsid w:val="00C563ED"/>
    <w:rsid w:val="00C715B9"/>
    <w:rsid w:val="00C72D69"/>
    <w:rsid w:val="00C76C52"/>
    <w:rsid w:val="00C8778A"/>
    <w:rsid w:val="00CA01BF"/>
    <w:rsid w:val="00CB1B8E"/>
    <w:rsid w:val="00CB358A"/>
    <w:rsid w:val="00CC249D"/>
    <w:rsid w:val="00CC5A39"/>
    <w:rsid w:val="00CD4868"/>
    <w:rsid w:val="00CE071B"/>
    <w:rsid w:val="00CF6ACC"/>
    <w:rsid w:val="00D03FD7"/>
    <w:rsid w:val="00D07D9F"/>
    <w:rsid w:val="00D14244"/>
    <w:rsid w:val="00D2743C"/>
    <w:rsid w:val="00D35451"/>
    <w:rsid w:val="00D42212"/>
    <w:rsid w:val="00D659F5"/>
    <w:rsid w:val="00D671E5"/>
    <w:rsid w:val="00D67BB6"/>
    <w:rsid w:val="00D706E3"/>
    <w:rsid w:val="00D768C2"/>
    <w:rsid w:val="00D8339F"/>
    <w:rsid w:val="00D90091"/>
    <w:rsid w:val="00D97FEE"/>
    <w:rsid w:val="00DA38D9"/>
    <w:rsid w:val="00DB0834"/>
    <w:rsid w:val="00DB0D96"/>
    <w:rsid w:val="00DB3E94"/>
    <w:rsid w:val="00DB449E"/>
    <w:rsid w:val="00DB44F7"/>
    <w:rsid w:val="00DB6A39"/>
    <w:rsid w:val="00DB6CBA"/>
    <w:rsid w:val="00DC031A"/>
    <w:rsid w:val="00DC0543"/>
    <w:rsid w:val="00DC0DA5"/>
    <w:rsid w:val="00DC1821"/>
    <w:rsid w:val="00DC611E"/>
    <w:rsid w:val="00DD371A"/>
    <w:rsid w:val="00DD559F"/>
    <w:rsid w:val="00DF2D33"/>
    <w:rsid w:val="00DF520B"/>
    <w:rsid w:val="00DF7043"/>
    <w:rsid w:val="00E222D3"/>
    <w:rsid w:val="00E33A97"/>
    <w:rsid w:val="00E35570"/>
    <w:rsid w:val="00E363AB"/>
    <w:rsid w:val="00E44CC7"/>
    <w:rsid w:val="00E45F99"/>
    <w:rsid w:val="00E56777"/>
    <w:rsid w:val="00E60702"/>
    <w:rsid w:val="00E62BE6"/>
    <w:rsid w:val="00E67C6D"/>
    <w:rsid w:val="00E706A5"/>
    <w:rsid w:val="00E71745"/>
    <w:rsid w:val="00E72701"/>
    <w:rsid w:val="00E74ECF"/>
    <w:rsid w:val="00E76A67"/>
    <w:rsid w:val="00EA4A54"/>
    <w:rsid w:val="00EA7872"/>
    <w:rsid w:val="00EB3CBC"/>
    <w:rsid w:val="00EC5950"/>
    <w:rsid w:val="00EF0D7E"/>
    <w:rsid w:val="00EF7949"/>
    <w:rsid w:val="00F008E4"/>
    <w:rsid w:val="00F01EE5"/>
    <w:rsid w:val="00F030FB"/>
    <w:rsid w:val="00F30C18"/>
    <w:rsid w:val="00F40762"/>
    <w:rsid w:val="00F55202"/>
    <w:rsid w:val="00F559F1"/>
    <w:rsid w:val="00F57F37"/>
    <w:rsid w:val="00F6013C"/>
    <w:rsid w:val="00F60CEE"/>
    <w:rsid w:val="00F6314F"/>
    <w:rsid w:val="00F73582"/>
    <w:rsid w:val="00F750FB"/>
    <w:rsid w:val="00F83486"/>
    <w:rsid w:val="00F83703"/>
    <w:rsid w:val="00F85EA1"/>
    <w:rsid w:val="00F8668F"/>
    <w:rsid w:val="00F95AD4"/>
    <w:rsid w:val="00FA1781"/>
    <w:rsid w:val="00FB17E3"/>
    <w:rsid w:val="00FB1E2C"/>
    <w:rsid w:val="00FB2D50"/>
    <w:rsid w:val="00FB6886"/>
    <w:rsid w:val="00FC6B62"/>
    <w:rsid w:val="00FD26E1"/>
    <w:rsid w:val="00FD6540"/>
    <w:rsid w:val="00FF0D40"/>
    <w:rsid w:val="00FF15F8"/>
    <w:rsid w:val="00FF3FAC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4804D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4804D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Заголовок №3_"/>
    <w:link w:val="30"/>
    <w:uiPriority w:val="99"/>
    <w:rsid w:val="004804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4804D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Заголовок №3"/>
    <w:basedOn w:val="a"/>
    <w:link w:val="3"/>
    <w:uiPriority w:val="99"/>
    <w:rsid w:val="004804DF"/>
    <w:pPr>
      <w:widowControl w:val="0"/>
      <w:shd w:val="clear" w:color="auto" w:fill="FFFFFF"/>
      <w:spacing w:before="180" w:after="6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247A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0702"/>
    <w:pPr>
      <w:ind w:left="720"/>
    </w:pPr>
  </w:style>
  <w:style w:type="character" w:styleId="a5">
    <w:name w:val="Hyperlink"/>
    <w:uiPriority w:val="99"/>
    <w:rsid w:val="00AC2335"/>
    <w:rPr>
      <w:color w:val="0000FF"/>
      <w:u w:val="single"/>
    </w:rPr>
  </w:style>
  <w:style w:type="paragraph" w:customStyle="1" w:styleId="rvps2">
    <w:name w:val="rvps2"/>
    <w:basedOn w:val="a"/>
    <w:rsid w:val="006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activity">
    <w:name w:val="main-activity"/>
    <w:basedOn w:val="a0"/>
    <w:rsid w:val="005D17C3"/>
  </w:style>
  <w:style w:type="character" w:customStyle="1" w:styleId="rvts46">
    <w:name w:val="rvts46"/>
    <w:basedOn w:val="a0"/>
    <w:rsid w:val="00840595"/>
  </w:style>
  <w:style w:type="paragraph" w:styleId="31">
    <w:name w:val="Body Text 3"/>
    <w:basedOn w:val="a"/>
    <w:link w:val="32"/>
    <w:uiPriority w:val="99"/>
    <w:unhideWhenUsed/>
    <w:rsid w:val="007028EF"/>
    <w:pPr>
      <w:spacing w:after="0" w:line="240" w:lineRule="auto"/>
      <w:jc w:val="both"/>
    </w:pPr>
    <w:rPr>
      <w:rFonts w:ascii="UkrainianMysl" w:eastAsiaTheme="minorHAnsi" w:hAnsi="UkrainianMysl" w:cs="Times New Roman"/>
      <w:color w:val="000000"/>
      <w:sz w:val="26"/>
      <w:szCs w:val="2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rsid w:val="007028EF"/>
    <w:rPr>
      <w:rFonts w:ascii="UkrainianMysl" w:eastAsiaTheme="minorHAnsi" w:hAnsi="UkrainianMysl"/>
      <w:color w:val="000000"/>
      <w:sz w:val="26"/>
      <w:szCs w:val="26"/>
      <w:lang w:val="uk-UA"/>
    </w:rPr>
  </w:style>
  <w:style w:type="character" w:customStyle="1" w:styleId="a6">
    <w:name w:val="Основной текст_"/>
    <w:link w:val="33"/>
    <w:rsid w:val="007028EF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7028EF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a7">
    <w:name w:val="Знак Знак"/>
    <w:basedOn w:val="a"/>
    <w:rsid w:val="00962FDF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D3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2D3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desa@spfu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desa@spfu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3C9-C793-4D99-B308-E442A93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42971</CharactersWithSpaces>
  <SharedDoc>false</SharedDoc>
  <HLinks>
    <vt:vector size="24" baseType="variant"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2022-09-20T14:49:00Z</cp:lastPrinted>
  <dcterms:created xsi:type="dcterms:W3CDTF">2022-09-21T10:53:00Z</dcterms:created>
  <dcterms:modified xsi:type="dcterms:W3CDTF">2022-09-21T11:03:00Z</dcterms:modified>
</cp:coreProperties>
</file>