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CellMar>
          <w:left w:w="0" w:type="dxa"/>
          <w:right w:w="0" w:type="dxa"/>
        </w:tblCellMar>
        <w:tblLook w:val="04A0"/>
      </w:tblPr>
      <w:tblGrid>
        <w:gridCol w:w="5687"/>
        <w:gridCol w:w="3744"/>
      </w:tblGrid>
      <w:tr w:rsidR="00356E4A" w:rsidRPr="00356E4A" w:rsidTr="00356E4A">
        <w:trPr>
          <w:trHeight w:val="268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C9DAF8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8555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Продовження терміну дії договору оренди від 27.07.2017 №3644/д державного нерухомого майна – частини замощення II (інвентарний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номер 40049), ре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>є</w:t>
            </w: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стровий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номер </w:t>
            </w:r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01125761.4.АААИБЕ872, загальною площею 270,0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кв.м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., розташоване за адресою:  Запорізька область, м. Бердянськ,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вул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lang w:val="uk-UA" w:eastAsia="ru-RU"/>
              </w:rPr>
              <w:t>.Горького</w:t>
            </w:r>
            <w:proofErr w:type="spellEnd"/>
            <w:r>
              <w:rPr>
                <w:rFonts w:eastAsia="Times New Roman"/>
                <w:sz w:val="20"/>
                <w:szCs w:val="20"/>
                <w:lang w:val="uk-UA" w:eastAsia="ru-RU"/>
              </w:rPr>
              <w:t>,2, що перебуває на балансі державного підприємства «Бердянський морський торговельний порт»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Дніпропетровській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іровоградській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областях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A2F7F">
              <w:rPr>
                <w:sz w:val="20"/>
                <w:szCs w:val="20"/>
                <w:lang w:val="uk-UA"/>
              </w:rPr>
              <w:t>вул. Центральна, буд. 6, м. Дніпро, 49000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ДЕРЖАВНЕ 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ІДПРИЄМСТВО "БЕРДЯНСЬКИЙ МОРСЬКИЙ ТОРГОВЕЛЬНИЙ ПОРТ"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1125761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обл., 71112,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місто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Бердянськ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вул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. Горького, 13/7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</w:t>
            </w: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010.00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356E4A" w:rsidRPr="00356E4A" w:rsidTr="00356E4A">
        <w:trPr>
          <w:trHeight w:val="89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https://drive.google.com/open?id=101UgwOBOYiJ-yuV1zR_0zxs4M5_Iooid, https://drive.google.com/open?id=1qSBZHfNMn5khJq_qZppjGh84ASgL7Ne-, https://drive.google.com/open?id=1M2JYcqJ4aRTiJpN_GIEye0H5I1Zb2Bnx, https://drive.google.com/open?id=1XqeN7hra27_f9gCEOQx5UDeVlrhN1_Kw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Запорізька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обл.,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істо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Бердянськ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Горького, 2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270.00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270.00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інше</w:t>
            </w:r>
            <w:proofErr w:type="spellEnd"/>
          </w:p>
        </w:tc>
      </w:tr>
      <w:tr w:rsidR="00356E4A" w:rsidRPr="00356E4A" w:rsidTr="00356E4A">
        <w:trPr>
          <w:trHeight w:val="841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https://drive.google.com/open?id=1BKMpFqpTgACmUNjN29FHNL-UxGVYiVlZ, https://drive.google.com/open?id=1lMgnGh-8TIzXoHX0YGffytNEVZCFxHJm, https://drive.google.com/open?id=16z6hFqJzBfUclJ-fdUWVDuP0qAhe8rz3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Потужність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460.10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</w:p>
        </w:tc>
      </w:tr>
      <w:tr w:rsidR="00356E4A" w:rsidRPr="00356E4A" w:rsidTr="00356E4A">
        <w:trPr>
          <w:trHeight w:val="892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причина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sz w:val="20"/>
                <w:szCs w:val="20"/>
                <w:lang w:eastAsia="ru-RU"/>
              </w:rPr>
              <w:t>0615362724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sz w:val="20"/>
                <w:szCs w:val="20"/>
                <w:lang w:eastAsia="ru-RU"/>
              </w:rPr>
              <w:t>0661132162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sz w:val="20"/>
                <w:szCs w:val="20"/>
                <w:lang w:eastAsia="ru-RU"/>
              </w:rPr>
              <w:t>post@bmtport.com.ua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sz w:val="20"/>
                <w:szCs w:val="20"/>
                <w:lang w:eastAsia="ru-RU"/>
              </w:rPr>
              <w:t>YanaK@ascetship.com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E4A" w:rsidRPr="00356E4A" w:rsidTr="00857709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CCCCCC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57709">
              <w:rPr>
                <w:rFonts w:eastAsia="Times New Roman"/>
                <w:sz w:val="20"/>
                <w:szCs w:val="20"/>
                <w:lang w:val="uk-UA" w:eastAsia="ru-RU"/>
              </w:rPr>
              <w:t>06 квітня 2021</w:t>
            </w:r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356E4A" w:rsidRPr="00356E4A" w:rsidTr="00857709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85770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57709" w:rsidRPr="00857709">
              <w:rPr>
                <w:rFonts w:eastAsia="Times New Roman"/>
                <w:sz w:val="20"/>
                <w:szCs w:val="20"/>
                <w:lang w:val="uk-UA" w:eastAsia="ru-RU"/>
              </w:rPr>
              <w:t>05 квітня 2021</w:t>
            </w:r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року,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sz w:val="20"/>
                <w:szCs w:val="20"/>
                <w:lang w:eastAsia="ru-RU"/>
              </w:rPr>
              <w:t>14.60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sz w:val="20"/>
                <w:szCs w:val="20"/>
                <w:lang w:eastAsia="ru-RU"/>
              </w:rPr>
              <w:t>730.05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857709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="00356E4A" w:rsidRPr="00356E4A">
              <w:rPr>
                <w:rFonts w:eastAsia="Times New Roman"/>
                <w:sz w:val="20"/>
                <w:szCs w:val="20"/>
                <w:lang w:eastAsia="ru-RU"/>
              </w:rPr>
              <w:t>840.40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356E4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56E4A" w:rsidRPr="00356E4A" w:rsidTr="00857709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857709" w:rsidRPr="00996364" w:rsidRDefault="00857709" w:rsidP="008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ЕМ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     </w:t>
            </w:r>
            <w:r w:rsidRPr="00996364">
              <w:rPr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посиланням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вебсайта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,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таки</w:t>
            </w:r>
            <w:r>
              <w:rPr>
                <w:color w:val="000000"/>
                <w:sz w:val="20"/>
                <w:szCs w:val="20"/>
                <w:lang w:val="uk-UA"/>
              </w:rPr>
              <w:t>х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996364">
                <w:rPr>
                  <w:rStyle w:val="a3"/>
                  <w:color w:val="000000"/>
                  <w:sz w:val="20"/>
                  <w:szCs w:val="20"/>
                </w:rPr>
                <w:t>https://prozorro.sale/info/elektronni-majdanchiki-ets-prozorroprodazhi-cbd2</w:t>
              </w:r>
            </w:hyperlink>
            <w:r w:rsidRPr="00996364">
              <w:rPr>
                <w:color w:val="000000"/>
                <w:sz w:val="20"/>
                <w:szCs w:val="20"/>
                <w:u w:val="single"/>
              </w:rPr>
              <w:t>.</w:t>
            </w:r>
          </w:p>
          <w:p w:rsidR="00857709" w:rsidRPr="00996364" w:rsidRDefault="00857709" w:rsidP="008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  <w:u w:val="single"/>
              </w:rPr>
              <w:t xml:space="preserve">Оператор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електронного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майданчика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здійснює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 (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або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)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гарантійного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на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казначейські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рахунки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proofErr w:type="gramStart"/>
            <w:r w:rsidRPr="00996364">
              <w:rPr>
                <w:color w:val="000000"/>
                <w:sz w:val="20"/>
                <w:szCs w:val="20"/>
                <w:u w:val="single"/>
              </w:rPr>
              <w:t>за</w:t>
            </w:r>
            <w:proofErr w:type="gramEnd"/>
            <w:r w:rsidRPr="00996364">
              <w:rPr>
                <w:color w:val="000000"/>
                <w:sz w:val="20"/>
                <w:szCs w:val="20"/>
                <w:u w:val="single"/>
              </w:rPr>
              <w:t xml:space="preserve"> такими </w:t>
            </w:r>
            <w:proofErr w:type="spellStart"/>
            <w:r w:rsidRPr="00996364">
              <w:rPr>
                <w:color w:val="000000"/>
                <w:sz w:val="20"/>
                <w:szCs w:val="20"/>
                <w:u w:val="single"/>
              </w:rPr>
              <w:t>реквізитами</w:t>
            </w:r>
            <w:proofErr w:type="spellEnd"/>
            <w:r w:rsidRPr="00996364">
              <w:rPr>
                <w:color w:val="000000"/>
                <w:sz w:val="20"/>
                <w:szCs w:val="20"/>
                <w:u w:val="single"/>
              </w:rPr>
              <w:t>:</w:t>
            </w:r>
          </w:p>
          <w:p w:rsidR="00857709" w:rsidRPr="00996364" w:rsidRDefault="00857709" w:rsidP="008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:</w:t>
            </w:r>
          </w:p>
          <w:p w:rsidR="00857709" w:rsidRPr="00996364" w:rsidRDefault="00857709" w:rsidP="008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Регіональне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відділення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України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Запорізькій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та</w:t>
            </w:r>
            <w:proofErr w:type="gramStart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996364">
              <w:rPr>
                <w:color w:val="000000"/>
                <w:sz w:val="20"/>
                <w:szCs w:val="20"/>
              </w:rPr>
              <w:t>іровоградській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областях</w:t>
            </w:r>
          </w:p>
          <w:p w:rsidR="00857709" w:rsidRPr="00996364" w:rsidRDefault="00857709" w:rsidP="008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11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Рахунок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№</w:t>
            </w:r>
            <w:r w:rsidRPr="00996364">
              <w:rPr>
                <w:color w:val="000000"/>
                <w:sz w:val="20"/>
                <w:szCs w:val="20"/>
              </w:rPr>
              <w:t>UA928201720355179</w:t>
            </w:r>
            <w:r>
              <w:rPr>
                <w:color w:val="000000"/>
                <w:sz w:val="20"/>
                <w:szCs w:val="20"/>
              </w:rPr>
              <w:t>003001055549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         </w:t>
            </w:r>
            <w:r>
              <w:rPr>
                <w:color w:val="000000"/>
                <w:sz w:val="20"/>
                <w:szCs w:val="20"/>
              </w:rPr>
              <w:t xml:space="preserve"> (для </w:t>
            </w:r>
            <w:proofErr w:type="spellStart"/>
            <w:r>
              <w:rPr>
                <w:color w:val="000000"/>
                <w:sz w:val="20"/>
                <w:szCs w:val="20"/>
              </w:rPr>
              <w:t>перерахування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>)</w:t>
            </w:r>
          </w:p>
          <w:p w:rsidR="00857709" w:rsidRPr="00996364" w:rsidRDefault="00857709" w:rsidP="008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</w:rPr>
            </w:pPr>
            <w:r w:rsidRPr="00996364">
              <w:rPr>
                <w:color w:val="000000"/>
                <w:sz w:val="20"/>
                <w:szCs w:val="20"/>
              </w:rPr>
              <w:t xml:space="preserve">Банк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одержувача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: ГУ ДКСУ у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Дніпропетровській</w:t>
            </w:r>
            <w:proofErr w:type="spellEnd"/>
            <w:r w:rsidRPr="0099636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6364">
              <w:rPr>
                <w:color w:val="000000"/>
                <w:sz w:val="20"/>
                <w:szCs w:val="20"/>
              </w:rPr>
              <w:t>області</w:t>
            </w:r>
            <w:proofErr w:type="spellEnd"/>
          </w:p>
          <w:p w:rsidR="00857709" w:rsidRPr="00996364" w:rsidRDefault="00857709" w:rsidP="008577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 w:line="240" w:lineRule="auto"/>
              <w:ind w:firstLine="29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996364">
              <w:rPr>
                <w:color w:val="000000"/>
                <w:sz w:val="20"/>
                <w:szCs w:val="20"/>
              </w:rPr>
              <w:t>Код ЄДРПОУ 42767945</w:t>
            </w:r>
          </w:p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Єдине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Pr="00356E4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CCCCCC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Інша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E4A" w:rsidRPr="00356E4A" w:rsidTr="00C43181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C43181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val="uk-UA" w:eastAsia="ru-RU"/>
              </w:rPr>
            </w:pPr>
            <w:r w:rsidRPr="00C43181">
              <w:rPr>
                <w:rFonts w:eastAsia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sz w:val="20"/>
                <w:szCs w:val="20"/>
                <w:lang w:eastAsia="ru-RU"/>
              </w:rPr>
              <w:t>3800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сплачує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землю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tgtFrame="_blank" w:history="1">
              <w:r w:rsidRPr="00356E4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https://drive.google.com/open?id=1QT9TaLoU0kz4VcFKYetMtiGr9uH-8Jnu</w:t>
              </w:r>
            </w:hyperlink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8" w:anchor="gid=718665470" w:tgtFrame="_blank" w:history="1">
              <w:r w:rsidRPr="00356E4A">
                <w:rPr>
                  <w:rFonts w:eastAsia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56E4A">
              <w:rPr>
                <w:rFonts w:eastAsia="Times New Roman"/>
                <w:sz w:val="20"/>
                <w:szCs w:val="20"/>
                <w:lang w:eastAsia="ru-RU"/>
              </w:rPr>
              <w:t xml:space="preserve"> 8555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ТОВАРИСТВО 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ОБМЕЖЕНОЮ ВІДПОВІДАЛЬНІСТЮ "АСКЕТ ШИППІНГ"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C43181" w:rsidP="00C431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липня </w:t>
            </w:r>
            <w:r w:rsidR="00356E4A"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C43181" w:rsidP="00C431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  <w:r>
              <w:rPr>
                <w:rFonts w:eastAsia="Times New Roman"/>
                <w:color w:val="000000"/>
                <w:sz w:val="20"/>
                <w:szCs w:val="20"/>
                <w:lang w:val="uk-UA" w:eastAsia="ru-RU"/>
              </w:rPr>
              <w:t xml:space="preserve"> липня </w:t>
            </w:r>
            <w:r w:rsidR="00356E4A"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356E4A">
              <w:rPr>
                <w:rFonts w:eastAsia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трьох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center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одинадцятою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356E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lastRenderedPageBreak/>
              <w:t>Умовні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356E4A" w:rsidRPr="00356E4A" w:rsidTr="00356E4A">
        <w:trPr>
          <w:trHeight w:val="268"/>
        </w:trPr>
        <w:tc>
          <w:tcPr>
            <w:tcW w:w="0" w:type="auto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25" w:type="dxa"/>
              <w:left w:w="38" w:type="dxa"/>
              <w:bottom w:w="25" w:type="dxa"/>
              <w:right w:w="38" w:type="dxa"/>
            </w:tcMar>
            <w:vAlign w:val="bottom"/>
            <w:hideMark/>
          </w:tcPr>
          <w:p w:rsidR="00356E4A" w:rsidRPr="00356E4A" w:rsidRDefault="00356E4A" w:rsidP="00356E4A">
            <w:pPr>
              <w:spacing w:after="0" w:line="240" w:lineRule="auto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356E4A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1F2095" w:rsidRDefault="001F2095"/>
    <w:sectPr w:rsidR="001F2095" w:rsidSect="001F2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56E4A"/>
    <w:rsid w:val="00151094"/>
    <w:rsid w:val="001F2095"/>
    <w:rsid w:val="00356E4A"/>
    <w:rsid w:val="00857709"/>
    <w:rsid w:val="00C43181"/>
    <w:rsid w:val="00FC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6E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jhzU8BdB6LCIZL4d7BH4SNJb6_miJKanYLPaMJNk6JY/ed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QT9TaLoU0kz4VcFKYetMtiGr9uH-8J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FDMU</Company>
  <LinksUpToDate>false</LinksUpToDate>
  <CharactersWithSpaces>10987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kalugniy</dc:creator>
  <cp:keywords/>
  <dc:description/>
  <cp:lastModifiedBy>kalugniy</cp:lastModifiedBy>
  <cp:revision>3</cp:revision>
  <cp:lastPrinted>2021-03-09T11:13:00Z</cp:lastPrinted>
  <dcterms:created xsi:type="dcterms:W3CDTF">2021-03-09T10:49:00Z</dcterms:created>
  <dcterms:modified xsi:type="dcterms:W3CDTF">2021-03-09T11:33:00Z</dcterms:modified>
</cp:coreProperties>
</file>