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2" w:rsidRPr="00491B9B" w:rsidRDefault="00453BA2" w:rsidP="00453BA2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453BA2" w:rsidRPr="00491B9B" w:rsidRDefault="00453BA2" w:rsidP="00453BA2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протоколом робочої комісії органу приватизації</w:t>
      </w:r>
    </w:p>
    <w:p w:rsidR="00453BA2" w:rsidRPr="00491B9B" w:rsidRDefault="00453BA2" w:rsidP="00453BA2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Мелітопольської міської ради</w:t>
      </w:r>
    </w:p>
    <w:p w:rsidR="00453BA2" w:rsidRPr="00491B9B" w:rsidRDefault="00453BA2" w:rsidP="00453BA2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Запорізької області</w:t>
      </w:r>
    </w:p>
    <w:p w:rsidR="00453BA2" w:rsidRPr="00491B9B" w:rsidRDefault="00453BA2" w:rsidP="00453BA2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від 22.04.2019</w:t>
      </w:r>
    </w:p>
    <w:p w:rsidR="00453BA2" w:rsidRPr="00491B9B" w:rsidRDefault="00453BA2" w:rsidP="00453BA2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</w:p>
    <w:p w:rsidR="00453BA2" w:rsidRPr="00491B9B" w:rsidRDefault="00453BA2" w:rsidP="00453BA2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</w:p>
    <w:p w:rsidR="00453BA2" w:rsidRPr="00491B9B" w:rsidRDefault="00453BA2" w:rsidP="00453BA2">
      <w:pPr>
        <w:tabs>
          <w:tab w:val="left" w:pos="78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Інформаційне повідомлення про продаж на електронному аукціоні об’єкта малої приватизації -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майновий комплекс, який знаходиться за адресою: м. Мелітополь,                      вул. Ломоносова, 24/1</w:t>
      </w:r>
    </w:p>
    <w:p w:rsidR="00453BA2" w:rsidRPr="00491B9B" w:rsidRDefault="00453BA2" w:rsidP="008121C0">
      <w:pPr>
        <w:tabs>
          <w:tab w:val="left" w:pos="781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1. Інформація про об’єкт приватизації:</w:t>
      </w:r>
    </w:p>
    <w:p w:rsidR="00453BA2" w:rsidRPr="00491B9B" w:rsidRDefault="00491B9B" w:rsidP="00453BA2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Найменування об’єкта приватизації: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</w:t>
      </w:r>
      <w:r w:rsidR="00453BA2" w:rsidRPr="00491B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Майновий комплекс, що складається з:</w:t>
      </w:r>
    </w:p>
    <w:p w:rsidR="00453BA2" w:rsidRPr="00491B9B" w:rsidRDefault="00453BA2" w:rsidP="00453BA2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9552" w:type="dxa"/>
        <w:tblInd w:w="113" w:type="dxa"/>
        <w:tblLook w:val="04A0" w:firstRow="1" w:lastRow="0" w:firstColumn="1" w:lastColumn="0" w:noHBand="0" w:noVBand="1"/>
      </w:tblPr>
      <w:tblGrid>
        <w:gridCol w:w="561"/>
        <w:gridCol w:w="816"/>
        <w:gridCol w:w="2658"/>
        <w:gridCol w:w="661"/>
        <w:gridCol w:w="717"/>
        <w:gridCol w:w="749"/>
        <w:gridCol w:w="755"/>
        <w:gridCol w:w="717"/>
        <w:gridCol w:w="907"/>
        <w:gridCol w:w="1011"/>
      </w:tblGrid>
      <w:tr w:rsidR="00453BA2" w:rsidRPr="00491B9B" w:rsidTr="009C2663">
        <w:trPr>
          <w:trHeight w:val="795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Інвен-тар-ний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Опис об’єкту продажу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Рік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S, </w:t>
            </w:r>
            <w:proofErr w:type="spellStart"/>
            <w:r w:rsidRPr="0049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м.кв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Н, м.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V, </w:t>
            </w:r>
            <w:proofErr w:type="spellStart"/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м.куб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S </w:t>
            </w:r>
            <w:proofErr w:type="spellStart"/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вн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., </w:t>
            </w:r>
            <w:proofErr w:type="spellStart"/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м.кв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L, м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Ø, мм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Будівля А-1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166,9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A63666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Підвал </w:t>
            </w:r>
            <w:proofErr w:type="spellStart"/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пд</w:t>
            </w:r>
            <w:proofErr w:type="spellEnd"/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7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Огорожа</w:t>
            </w:r>
            <w:r w:rsidR="00B349A6"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з/б плити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Ворота металеві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1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Ворота металеві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Пожежна ємність </w:t>
            </w:r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(резервуар для води пожежний) 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4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Ємність (резервуар підземний) 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Ємність (резервуар підземний) 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Ємність (резервуар підземний) 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Ємність (резервуар підземний) 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Залізнична колія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2107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Естакада металева на бетон. опорах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Замощення, 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489,8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Зливний канал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2085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Пристрій каналів</w:t>
            </w:r>
            <w:r w:rsidR="00B349A6"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труба стальна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труба стальна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Ел. освітлення: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3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 стовпів освітлення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Вишка сталева з 4-а прожекторами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Ел. освітлення: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51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 стойок з труб зі світильниками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51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Вертикальний план і благоустрій території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7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з/б плити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192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3094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Мазутопровід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133х4</w:t>
            </w:r>
          </w:p>
        </w:tc>
      </w:tr>
      <w:tr w:rsidR="00453BA2" w:rsidRPr="00491B9B" w:rsidTr="009C2663">
        <w:trPr>
          <w:trHeight w:val="7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3102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Мазутопровід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50х3,5</w:t>
            </w:r>
          </w:p>
        </w:tc>
      </w:tr>
      <w:tr w:rsidR="00453BA2" w:rsidRPr="00491B9B" w:rsidTr="009C2663">
        <w:trPr>
          <w:trHeight w:val="7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Трубопровід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89х4,5</w:t>
            </w:r>
          </w:p>
        </w:tc>
      </w:tr>
      <w:tr w:rsidR="00453BA2" w:rsidRPr="00491B9B" w:rsidTr="009C2663">
        <w:trPr>
          <w:trHeight w:val="7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Трубопровід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133х4</w:t>
            </w:r>
          </w:p>
        </w:tc>
      </w:tr>
      <w:tr w:rsidR="00453BA2" w:rsidRPr="00491B9B" w:rsidTr="009C2663">
        <w:trPr>
          <w:trHeight w:val="4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Трубопровід </w:t>
            </w:r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паро-провід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повітр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. прокладки)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3097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Нафтоловушка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Мережі кабельні </w:t>
            </w:r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всередині майданчикові (недійсні)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53BA2" w:rsidRPr="00491B9B" w:rsidTr="009C266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Каналізація </w:t>
            </w: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ливнева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</w:tr>
      <w:tr w:rsidR="00B92FF6" w:rsidRPr="00491B9B" w:rsidTr="009C266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3104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Теплові мережі </w:t>
            </w:r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від </w:t>
            </w: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мазутонасосної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по вул. Ломоносова до котельні по вул. Героїв Сталінграда на опорах повітряної прокладки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491B9B" w:rsidRDefault="00B92FF6" w:rsidP="00B9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</w:t>
            </w:r>
          </w:p>
        </w:tc>
      </w:tr>
      <w:tr w:rsidR="00B92FF6" w:rsidRPr="00491B9B" w:rsidTr="009C266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B92FF6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A63666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420566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A63666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Насос 12 НА 1 12 НА-9Х4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A63666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B92FF6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B92FF6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B92FF6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B92FF6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B92FF6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F6" w:rsidRPr="00A63666" w:rsidRDefault="00B92FF6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9C2663" w:rsidRPr="00491B9B" w:rsidTr="009C266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A1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A1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420599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A1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Насос 12НА 3 12НА-9Х4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A1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A1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A1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A1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A1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A1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9C2663" w:rsidRPr="00491B9B" w:rsidTr="009C2663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420568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Насос 12НА №2 12НА-9Х4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63" w:rsidRPr="00A63666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453BA2" w:rsidRDefault="00453BA2" w:rsidP="00453BA2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91B9B" w:rsidRDefault="00491B9B" w:rsidP="00491B9B">
      <w:pPr>
        <w:tabs>
          <w:tab w:val="left" w:pos="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Об’єкти, що</w:t>
      </w:r>
      <w:r w:rsidRPr="00491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перебувають в </w:t>
      </w:r>
      <w:proofErr w:type="spellStart"/>
      <w:r w:rsidRPr="00491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мазутонасосному</w:t>
      </w:r>
      <w:proofErr w:type="spellEnd"/>
    </w:p>
    <w:p w:rsidR="00491B9B" w:rsidRPr="00491B9B" w:rsidRDefault="00491B9B" w:rsidP="00491B9B">
      <w:pPr>
        <w:tabs>
          <w:tab w:val="left" w:pos="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приміщенні та затоплені водно – мазутним сумішам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8"/>
        <w:gridCol w:w="1771"/>
        <w:gridCol w:w="4573"/>
        <w:gridCol w:w="2161"/>
      </w:tblGrid>
      <w:tr w:rsidR="00453BA2" w:rsidRPr="00491B9B" w:rsidTr="00453BA2">
        <w:trPr>
          <w:trHeight w:val="39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9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Інвентарний </w:t>
            </w:r>
            <w:r w:rsid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номер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91B9B" w:rsidP="0049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Опис об’єкту продаж,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Рік </w:t>
            </w:r>
          </w:p>
        </w:tc>
      </w:tr>
      <w:tr w:rsidR="00453BA2" w:rsidRPr="00491B9B" w:rsidTr="00453BA2">
        <w:trPr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53BA2" w:rsidRPr="00491B9B" w:rsidTr="00453BA2">
        <w:trPr>
          <w:trHeight w:val="2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53BA2" w:rsidRPr="00491B9B" w:rsidTr="00A63666">
        <w:trPr>
          <w:trHeight w:val="1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A2" w:rsidRPr="00491B9B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420232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Насос 3В 16/25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A63666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A2" w:rsidRPr="00491B9B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420241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10-240-40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1975</w:t>
            </w:r>
          </w:p>
        </w:tc>
      </w:tr>
      <w:tr w:rsidR="00453BA2" w:rsidRPr="00491B9B" w:rsidTr="00A63666">
        <w:trPr>
          <w:trHeight w:val="2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420242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10-240-40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1975</w:t>
            </w:r>
          </w:p>
        </w:tc>
      </w:tr>
      <w:tr w:rsidR="00453BA2" w:rsidRPr="00491B9B" w:rsidTr="00A63666">
        <w:trPr>
          <w:trHeight w:val="2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420243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10-240-40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1975</w:t>
            </w:r>
          </w:p>
        </w:tc>
      </w:tr>
      <w:tr w:rsidR="00453BA2" w:rsidRPr="00491B9B" w:rsidTr="00A6366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A2" w:rsidRPr="00491B9B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420567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Насос 12НА 2 12НА-9Х4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A63666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A2" w:rsidRPr="00491B9B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420569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Насос Р3-30 (Ш-40-4)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A63666">
        <w:trPr>
          <w:trHeight w:val="3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420570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Насос Р3-30 (Ш-40-4)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A63666">
        <w:trPr>
          <w:trHeight w:val="25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420571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Насос Р3-30 (Ш-40-4)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A63666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A2" w:rsidRPr="00491B9B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420572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Паропідігрівач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ПМ40-15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A63666">
        <w:trPr>
          <w:trHeight w:val="2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420573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Паропідігрівач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ПМ40-15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A63666">
        <w:trPr>
          <w:trHeight w:val="2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420574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Паропідігрівач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ПМ40-15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A63666">
        <w:trPr>
          <w:trHeight w:val="2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420575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Паропідігрівач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ПМ40-15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A63666">
        <w:trPr>
          <w:trHeight w:val="2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420576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Паропідігрівач</w:t>
            </w:r>
            <w:proofErr w:type="spellEnd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ПМ40-15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1985</w:t>
            </w:r>
          </w:p>
        </w:tc>
      </w:tr>
      <w:tr w:rsidR="00453BA2" w:rsidRPr="00491B9B" w:rsidTr="009C2663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A2" w:rsidRPr="00491B9B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420581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1975</w:t>
            </w:r>
          </w:p>
        </w:tc>
      </w:tr>
      <w:tr w:rsidR="00453BA2" w:rsidRPr="00491B9B" w:rsidTr="009C2663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420582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1975</w:t>
            </w:r>
          </w:p>
        </w:tc>
      </w:tr>
      <w:tr w:rsidR="00453BA2" w:rsidRPr="00491B9B" w:rsidTr="009C2663">
        <w:trPr>
          <w:trHeight w:val="2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420583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1975</w:t>
            </w:r>
          </w:p>
        </w:tc>
      </w:tr>
      <w:tr w:rsidR="00453BA2" w:rsidRPr="00491B9B" w:rsidTr="009C2663">
        <w:trPr>
          <w:trHeight w:val="2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420584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1975</w:t>
            </w:r>
          </w:p>
        </w:tc>
      </w:tr>
      <w:tr w:rsidR="00453BA2" w:rsidRPr="00491B9B" w:rsidTr="009C2663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420585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1975</w:t>
            </w:r>
          </w:p>
        </w:tc>
      </w:tr>
      <w:tr w:rsidR="00453BA2" w:rsidRPr="00491B9B" w:rsidTr="009C2663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A2" w:rsidRPr="00491B9B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420586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10-240-40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1975</w:t>
            </w:r>
          </w:p>
        </w:tc>
      </w:tr>
      <w:tr w:rsidR="00453BA2" w:rsidRPr="00491B9B" w:rsidTr="009C2663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BA2" w:rsidRPr="00491B9B" w:rsidRDefault="009C2663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420624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Фільтр мазутний ФМ 10-240-5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1986</w:t>
            </w:r>
          </w:p>
        </w:tc>
      </w:tr>
      <w:tr w:rsidR="00453BA2" w:rsidRPr="00491B9B" w:rsidTr="00453BA2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420651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Насос 1А 3В 16/25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1986</w:t>
            </w:r>
          </w:p>
        </w:tc>
      </w:tr>
      <w:tr w:rsidR="00453BA2" w:rsidRPr="00491B9B" w:rsidTr="00453BA2">
        <w:trPr>
          <w:trHeight w:val="2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420652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Насос 1А 3В 16/25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1986</w:t>
            </w:r>
          </w:p>
        </w:tc>
      </w:tr>
      <w:tr w:rsidR="00453BA2" w:rsidRPr="00491B9B" w:rsidTr="00453BA2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420802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Насос 1А 3В 16/25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1989</w:t>
            </w:r>
          </w:p>
        </w:tc>
      </w:tr>
      <w:tr w:rsidR="00453BA2" w:rsidRPr="00491B9B" w:rsidTr="00453BA2">
        <w:trPr>
          <w:trHeight w:val="2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420810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Насос 1А 3В 16/25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1989</w:t>
            </w:r>
          </w:p>
        </w:tc>
      </w:tr>
      <w:tr w:rsidR="00453BA2" w:rsidRPr="00491B9B" w:rsidTr="00453BA2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420803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Підігрівач мазуту ПМ40-15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1989</w:t>
            </w:r>
          </w:p>
        </w:tc>
      </w:tr>
      <w:tr w:rsidR="00453BA2" w:rsidRPr="00491B9B" w:rsidTr="00453BA2">
        <w:trPr>
          <w:trHeight w:val="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420848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Водопідігрівач  1 </w:t>
            </w:r>
            <w:proofErr w:type="spellStart"/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м.куб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A2" w:rsidRPr="00491B9B" w:rsidRDefault="00453BA2" w:rsidP="0045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9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1990</w:t>
            </w:r>
          </w:p>
        </w:tc>
      </w:tr>
    </w:tbl>
    <w:p w:rsidR="00453BA2" w:rsidRPr="00491B9B" w:rsidRDefault="00453BA2" w:rsidP="00453BA2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BA2" w:rsidRPr="00491B9B" w:rsidRDefault="00453BA2" w:rsidP="00453BA2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Місцезнаходження </w:t>
      </w:r>
      <w:r w:rsid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майнового комплексу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Запорізька область, м. Мелітополь,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вул. Ломоносова, 24/1.</w:t>
      </w:r>
    </w:p>
    <w:p w:rsidR="00491B9B" w:rsidRDefault="00453BA2" w:rsidP="0045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Найменування</w:t>
      </w:r>
      <w:r w:rsidR="00491B9B"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491B9B"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балансоутримувача</w:t>
      </w:r>
      <w:proofErr w:type="spellEnd"/>
      <w:r w:rsidR="003F4C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комунальною власністю Мелітопольської міської ради Запорізької області </w:t>
      </w:r>
    </w:p>
    <w:p w:rsidR="00491B9B" w:rsidRDefault="00491B9B" w:rsidP="0045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</w:t>
      </w:r>
      <w:r w:rsidR="00453BA2"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ісцезнаходження та контактні дані балансоутримувача</w:t>
      </w:r>
      <w:r w:rsidR="00453BA2"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Мелітополь,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 w:rsidR="008121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нишевського, 26, тел. (0619) 49-03-32, (0619) 49-03-37</w:t>
      </w:r>
    </w:p>
    <w:p w:rsidR="00453BA2" w:rsidRPr="00491B9B" w:rsidRDefault="00491B9B" w:rsidP="0045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Майно перебуває на зберіганні </w:t>
      </w:r>
      <w:r w:rsidR="00453BA2"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 «Мелітопольські теплові мережі», </w:t>
      </w:r>
    </w:p>
    <w:p w:rsidR="00453BA2" w:rsidRPr="00491B9B" w:rsidRDefault="00453BA2" w:rsidP="0045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Відомості про земельну ділянку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кадастровий</w:t>
      </w:r>
      <w:r w:rsid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номер – 2310700000:01:033:0256, площа 1,4398 га</w:t>
      </w:r>
      <w:r w:rsidR="008121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форма власності комунальна, власник Мелітопольська територіальна громада</w:t>
      </w:r>
    </w:p>
    <w:p w:rsidR="008121C0" w:rsidRDefault="008121C0" w:rsidP="0045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53BA2" w:rsidRPr="00491B9B" w:rsidRDefault="00453BA2" w:rsidP="0045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2. Інформація про електронний аукціон:</w:t>
      </w:r>
    </w:p>
    <w:p w:rsidR="008121C0" w:rsidRPr="00491B9B" w:rsidRDefault="008121C0" w:rsidP="008121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10.05.2018 № 432 (зі змінами).</w:t>
      </w:r>
    </w:p>
    <w:p w:rsidR="008121C0" w:rsidRPr="00491B9B" w:rsidRDefault="008121C0" w:rsidP="008121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у аукціоні не допускаються особи, на яких поширюються обмеження, визначені частиною другою ст.8 Закону України «Про приватизацію державного та комунального майна».</w:t>
      </w:r>
    </w:p>
    <w:p w:rsidR="00453BA2" w:rsidRPr="00491B9B" w:rsidRDefault="00453BA2" w:rsidP="0045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Спосіб аукціону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аукціон з умовами.</w:t>
      </w:r>
    </w:p>
    <w:p w:rsidR="00453BA2" w:rsidRPr="00060F75" w:rsidRDefault="00453BA2" w:rsidP="0045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та час проведення аукціону: 1</w:t>
      </w:r>
      <w:r w:rsidR="00060F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3.05.2019. </w:t>
      </w:r>
      <w:r w:rsidR="00060F75" w:rsidRPr="00060F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 проведення аукціону встановлюється електронною торговою системою відповідно до вимог Порядку проведення електронних аукціонів для </w:t>
      </w:r>
      <w:r w:rsidR="00060F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</w:t>
      </w:r>
    </w:p>
    <w:p w:rsidR="00453BA2" w:rsidRPr="00491B9B" w:rsidRDefault="00453BA2" w:rsidP="00453B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Кінцевий строк подання заяви на участь в електронному аукціоні з умовами, без умов, із зниженням стартової ціни</w:t>
      </w:r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453BA2" w:rsidRDefault="00453BA2" w:rsidP="00453B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842474" w:rsidRPr="00307AA7" w:rsidRDefault="00842474" w:rsidP="00453B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424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Час і місце проведення огляду об’єкта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: </w:t>
      </w:r>
      <w:r w:rsidR="004E3F48"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місцем його розташування з 9.00 до 16.00 в робочі дні (попереднє </w:t>
      </w:r>
      <w:r w:rsidR="004E3F48" w:rsidRPr="00491B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погодження часу проведення огляду об’єкта</w:t>
      </w:r>
      <w:r w:rsidR="004E3F48"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тел.</w:t>
      </w:r>
      <w:r w:rsidR="004E3F48"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(0619) 49-03-32, (0619) 49-03-37)</w:t>
      </w:r>
      <w:r w:rsidR="004E3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453BA2" w:rsidRPr="00491B9B" w:rsidRDefault="00453BA2" w:rsidP="00453B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53BA2" w:rsidRDefault="00453BA2" w:rsidP="00453B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 w:eastAsia="ru-RU"/>
        </w:rPr>
        <w:t>3. Інформація про умови, на яких здійснюється приватизація об’єкта:</w:t>
      </w:r>
    </w:p>
    <w:p w:rsidR="003501CB" w:rsidRDefault="003501CB" w:rsidP="00453B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07AA7" w:rsidRDefault="00307AA7" w:rsidP="00453B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307A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Стартова ціна об’єкта для кожного із способів продажу без урахування ПДВ</w:t>
      </w:r>
      <w:r w:rsidR="003501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453BA2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 умовами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503 490</w:t>
      </w:r>
      <w:r w:rsidR="00307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грн.00коп.</w:t>
      </w:r>
    </w:p>
    <w:p w:rsidR="00307AA7" w:rsidRDefault="00307AA7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продаж на аукціоні зі зниженням стартової ціни: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251 745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00 коп.</w:t>
      </w:r>
    </w:p>
    <w:p w:rsidR="00307AA7" w:rsidRDefault="00307AA7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за методом покрокового зниження стартової ціни та подальшого подання цінових пропозицій: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251 745 грн. 00 коп.</w:t>
      </w:r>
    </w:p>
    <w:p w:rsidR="003501CB" w:rsidRPr="003501CB" w:rsidRDefault="003501CB" w:rsidP="00AD0FE8">
      <w:pPr>
        <w:tabs>
          <w:tab w:val="left" w:pos="78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1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ціну продажу нараховується податок на додану вартість</w:t>
      </w:r>
    </w:p>
    <w:p w:rsidR="003501CB" w:rsidRPr="00491B9B" w:rsidRDefault="003501CB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Розмір гарантійного</w:t>
      </w:r>
      <w:r w:rsidRPr="003501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внеску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електронного  аукціону для кожного із способів продажу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3501CB" w:rsidRDefault="003501CB" w:rsidP="003501CB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 умовами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грн.00коп.</w:t>
      </w:r>
    </w:p>
    <w:p w:rsidR="003501CB" w:rsidRDefault="003501CB" w:rsidP="003501CB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продаж на аукціоні зі зниженням стартової ціни: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25 174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коп.</w:t>
      </w:r>
    </w:p>
    <w:p w:rsidR="003501CB" w:rsidRDefault="003501CB" w:rsidP="003501CB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за методом покрокового зниження стартової ціни та подальшого подання цінових пропозицій: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5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коп.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Розмір 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реєстраційного внеску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834 грн. грн. 60 коп.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мови продажу:</w:t>
      </w:r>
    </w:p>
    <w:p w:rsidR="004764A7" w:rsidRPr="00B92FF6" w:rsidRDefault="00AD0FE8" w:rsidP="00AD0FE8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D0F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компенсація </w:t>
      </w:r>
      <w:r w:rsidR="008C2D2E" w:rsidRPr="00AD0FE8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витрат понесених при виконанні заходів з підготовки об’єкту до приватизації </w:t>
      </w:r>
      <w:r w:rsidR="008C2D2E" w:rsidRPr="004764A7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val="uk-UA" w:eastAsia="ru-RU"/>
        </w:rPr>
        <w:t xml:space="preserve">у </w:t>
      </w:r>
      <w:r w:rsidR="008C2D2E" w:rsidRPr="004764A7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>сумі</w:t>
      </w:r>
      <w:r w:rsidR="008C2D2E" w:rsidRPr="00AD0FE8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 </w:t>
      </w:r>
      <w:r w:rsidR="008C2D2E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 17 491,01 грн. з них: до </w:t>
      </w:r>
      <w:r w:rsidRPr="00AD0FE8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КП </w:t>
      </w:r>
      <w:proofErr w:type="spellStart"/>
      <w:r w:rsidRPr="00AD0FE8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>„Комунальна</w:t>
      </w:r>
      <w:proofErr w:type="spellEnd"/>
      <w:r w:rsidRPr="00AD0FE8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 власність” ММР </w:t>
      </w:r>
      <w:r w:rsidR="008C2D2E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ЗО - </w:t>
      </w:r>
      <w:r w:rsidRPr="004764A7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>16 244,38</w:t>
      </w:r>
      <w:r w:rsidR="008C2D2E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 грн.; до </w:t>
      </w:r>
      <w:r w:rsidR="004764A7" w:rsidRPr="00B92FF6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>бюджету</w:t>
      </w:r>
      <w:r w:rsidR="008C2D2E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 </w:t>
      </w:r>
      <w:r w:rsidR="004764A7" w:rsidRPr="00B92FF6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м. Мелітополя </w:t>
      </w:r>
      <w:r w:rsidR="008C2D2E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- </w:t>
      </w:r>
      <w:r w:rsidR="004764A7" w:rsidRPr="00B92FF6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>1 246,63 грн.</w:t>
      </w:r>
      <w:r w:rsidR="008C2D2E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 Кошти підлягають сплаті протягом 5 (п’яти) днів з моменту підписання договору купівлі-продажу.</w:t>
      </w:r>
      <w:bookmarkStart w:id="0" w:name="_GoBack"/>
      <w:bookmarkEnd w:id="0"/>
    </w:p>
    <w:p w:rsidR="00AD0FE8" w:rsidRPr="00AD0FE8" w:rsidRDefault="00AD0FE8" w:rsidP="00AD0FE8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AD0FE8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>оплата витрат пов’язаних із нотаріальним посвідченням договору купівлі – продажу об’єкта.</w:t>
      </w:r>
    </w:p>
    <w:p w:rsidR="00B57948" w:rsidRPr="00B57948" w:rsidRDefault="004E3F48" w:rsidP="00B57948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E3F4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Найменування організатора аукціону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Управління комунальною власністю Мелітопольської міської ради Запорізької області, 72312, м Мелітополь,                                </w:t>
      </w:r>
      <w:r w:rsidR="00476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вул. Чернишевського, 26, сайт </w:t>
      </w:r>
      <w:proofErr w:type="spellStart"/>
      <w:r w:rsidRPr="004E3F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www.mlt.gov.ua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тел. (0619) 49-03-32, (0619) 49-03-37</w:t>
      </w:r>
      <w:r w:rsidR="00B57948"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4E3F48" w:rsidRPr="00B57948" w:rsidRDefault="00B57948" w:rsidP="00B57948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Час роботи: понеділок, вівторок, середа, четвер – з 8.00 до 17.00, п’ятниця – з 8.00 до 15.45. Перерва з 12.00 до 13.00. Контактна особа – Приходько Тетяна Ігорівна, </w:t>
      </w:r>
      <w:proofErr w:type="spellStart"/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Кеніх</w:t>
      </w:r>
      <w:proofErr w:type="spellEnd"/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Наталія Вікторівна, </w:t>
      </w:r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тел. (0619) 49-03-32, (0619) 49-03-37, </w:t>
      </w:r>
      <w:proofErr w:type="spellStart"/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</w:t>
      </w:r>
      <w:proofErr w:type="spellEnd"/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адреса </w:t>
      </w:r>
      <w:hyperlink r:id="rId6" w:history="1">
        <w:r w:rsidRPr="00B57948">
          <w:rPr>
            <w:rStyle w:val="aa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val="uk-UA" w:eastAsia="ru-RU"/>
          </w:rPr>
          <w:t>kpkv.arenda@ukr.net</w:t>
        </w:r>
      </w:hyperlink>
      <w:r w:rsidRPr="00B57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.</w:t>
      </w:r>
    </w:p>
    <w:p w:rsidR="00453BA2" w:rsidRPr="004E3F48" w:rsidRDefault="00453BA2" w:rsidP="004E3F48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4. Додаткова інформація: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Реквізити для перерахування операторам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1) </w:t>
      </w:r>
      <w:r w:rsidRPr="00491B9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в національній валюті гарантійний внесок: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Одержувач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Мелітопольське УК/Мелітополь/31030000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Рахунок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№ 31512905008013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Банк одержувача –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Казначейство України (ЕАП)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МФО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- 899998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Код ЄДРПОУ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37968956</w:t>
      </w:r>
    </w:p>
    <w:p w:rsidR="00453BA2" w:rsidRPr="00491B9B" w:rsidRDefault="00453BA2" w:rsidP="00453BA2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платежу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«Кошти від відчу</w:t>
      </w:r>
      <w:r w:rsidR="00A11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ження майна (майновий комплекс по                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вул. Ломоносова, 24/1), </w:t>
      </w:r>
      <w:r w:rsidRPr="00B57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належить Автономній Республіці Крим та майна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перебуває в комунальній власності».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ab/>
        <w:t xml:space="preserve">2) </w:t>
      </w:r>
      <w:r w:rsidRPr="00491B9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в національній валюті реєстраційний внесок: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Одержувач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Мелітопольське УК/Мелітополь/24060300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Рахунок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№ 31412544008013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Банк одержувача –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Казначейство України (ЕАП)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МФО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- 899998</w:t>
      </w:r>
    </w:p>
    <w:p w:rsidR="00453BA2" w:rsidRPr="00491B9B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Код ЄДРПОУ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37968956</w:t>
      </w:r>
    </w:p>
    <w:p w:rsidR="00453BA2" w:rsidRDefault="00453BA2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Назва платежу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«Інші надходження (за реєстрацію заяви ПІБ/найменування юридичної особи, на участь у приватизації </w:t>
      </w: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zh-CN"/>
        </w:rPr>
        <w:t xml:space="preserve">майнового комплексу, </w:t>
      </w:r>
      <w:r w:rsidR="00B57948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zh-CN"/>
        </w:rPr>
        <w:t>по</w:t>
      </w: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zh-CN"/>
        </w:rPr>
        <w:t xml:space="preserve"> вул. Ломоносова, 24/1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)».</w:t>
      </w:r>
    </w:p>
    <w:p w:rsidR="00B57948" w:rsidRPr="00491B9B" w:rsidRDefault="00B57948" w:rsidP="00453BA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5. Технічні реквізити інформаційного повідомлення: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47 сесії Мелітопольської міської ради Запорізької області VII скликання від 29.03.2019 № 3/4 «Про затвердження переліку об’єктів комунальної власності, що підлягають приватизації на аукціоні».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Унікальний код об’єкта приватизації в електронній торговій системі «</w:t>
      </w:r>
      <w:proofErr w:type="spellStart"/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Прозорро</w:t>
      </w:r>
      <w:proofErr w:type="spellEnd"/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B579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Продажі»: UA-AR-P-2019-04-05-000042-1.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Період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між аукціонами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</w:t>
      </w: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пропозицій: 20 календарних днів.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Мінімальний крок аукціону становить 1% стартової ціни об’єкта приватизації: 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для аукціону: 5 034,90 грн.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для аукціону зі зниженням стартової ціни – 2 517,45 грн.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для аукціону за методом покрокового зниження стартової ціни та подальшого подання цінових пропозицій – 2 517,45 грн.</w:t>
      </w:r>
    </w:p>
    <w:p w:rsidR="00453BA2" w:rsidRPr="00491B9B" w:rsidRDefault="00453BA2" w:rsidP="00453BA2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Загальна кількість кроків, на які знижується стартова ціна лота становить                         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25 кроків.</w:t>
      </w:r>
    </w:p>
    <w:p w:rsidR="00345FBA" w:rsidRPr="00491B9B" w:rsidRDefault="00345FBA">
      <w:pPr>
        <w:rPr>
          <w:rFonts w:ascii="Times New Roman" w:hAnsi="Times New Roman" w:cs="Times New Roman"/>
          <w:lang w:val="uk-UA"/>
        </w:rPr>
      </w:pPr>
    </w:p>
    <w:sectPr w:rsidR="00345FBA" w:rsidRPr="00491B9B" w:rsidSect="00453B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E8"/>
    <w:multiLevelType w:val="multilevel"/>
    <w:tmpl w:val="AFAAB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1">
    <w:nsid w:val="18582660"/>
    <w:multiLevelType w:val="hybridMultilevel"/>
    <w:tmpl w:val="C57E23D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20FE5F51"/>
    <w:multiLevelType w:val="hybridMultilevel"/>
    <w:tmpl w:val="E9C6FC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560A1"/>
    <w:multiLevelType w:val="hybridMultilevel"/>
    <w:tmpl w:val="E8A81E6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337A0DB4"/>
    <w:multiLevelType w:val="hybridMultilevel"/>
    <w:tmpl w:val="C650A80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35F36958"/>
    <w:multiLevelType w:val="multilevel"/>
    <w:tmpl w:val="3C282E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421C69D7"/>
    <w:multiLevelType w:val="hybridMultilevel"/>
    <w:tmpl w:val="72D007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148CF"/>
    <w:multiLevelType w:val="hybridMultilevel"/>
    <w:tmpl w:val="C37AA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A0CB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505DE"/>
    <w:multiLevelType w:val="hybridMultilevel"/>
    <w:tmpl w:val="93D00366"/>
    <w:lvl w:ilvl="0" w:tplc="511025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C"/>
    <w:rsid w:val="00060F75"/>
    <w:rsid w:val="00307AA7"/>
    <w:rsid w:val="00345FBA"/>
    <w:rsid w:val="003501CB"/>
    <w:rsid w:val="003F4CAB"/>
    <w:rsid w:val="00453BA2"/>
    <w:rsid w:val="004764A7"/>
    <w:rsid w:val="00491B9B"/>
    <w:rsid w:val="004E3F48"/>
    <w:rsid w:val="008121C0"/>
    <w:rsid w:val="00842474"/>
    <w:rsid w:val="008C2D2E"/>
    <w:rsid w:val="00951F1C"/>
    <w:rsid w:val="009C2663"/>
    <w:rsid w:val="00A11D81"/>
    <w:rsid w:val="00A63666"/>
    <w:rsid w:val="00AD0FE8"/>
    <w:rsid w:val="00B349A6"/>
    <w:rsid w:val="00B57948"/>
    <w:rsid w:val="00B92FF6"/>
    <w:rsid w:val="00E02B79"/>
    <w:rsid w:val="00E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53BA2"/>
  </w:style>
  <w:style w:type="character" w:customStyle="1" w:styleId="a3">
    <w:name w:val="Основной текст с отступом Знак"/>
    <w:link w:val="a4"/>
    <w:locked/>
    <w:rsid w:val="00453BA2"/>
    <w:rPr>
      <w:rFonts w:ascii="Calibri" w:hAnsi="Calibri"/>
      <w:sz w:val="32"/>
      <w:szCs w:val="32"/>
      <w:lang w:val="uk-UA"/>
    </w:rPr>
  </w:style>
  <w:style w:type="paragraph" w:styleId="a4">
    <w:name w:val="Body Text Indent"/>
    <w:basedOn w:val="a"/>
    <w:link w:val="a3"/>
    <w:rsid w:val="00453BA2"/>
    <w:pPr>
      <w:spacing w:after="120" w:line="240" w:lineRule="auto"/>
      <w:ind w:left="283"/>
    </w:pPr>
    <w:rPr>
      <w:rFonts w:ascii="Calibri" w:hAnsi="Calibri"/>
      <w:sz w:val="32"/>
      <w:szCs w:val="32"/>
      <w:lang w:val="uk-UA"/>
    </w:rPr>
  </w:style>
  <w:style w:type="character" w:customStyle="1" w:styleId="10">
    <w:name w:val="Основной текст с отступом Знак1"/>
    <w:basedOn w:val="a0"/>
    <w:uiPriority w:val="99"/>
    <w:semiHidden/>
    <w:rsid w:val="00453BA2"/>
  </w:style>
  <w:style w:type="paragraph" w:customStyle="1" w:styleId="Just">
    <w:name w:val="Just"/>
    <w:rsid w:val="00453BA2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53BA2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rsid w:val="00453B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453B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53BA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rsid w:val="00453BA2"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_"/>
    <w:link w:val="3"/>
    <w:rsid w:val="00453BA2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453BA2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a">
    <w:name w:val="Hyperlink"/>
    <w:rsid w:val="00453BA2"/>
    <w:rPr>
      <w:color w:val="0000FF"/>
      <w:u w:val="single"/>
    </w:rPr>
  </w:style>
  <w:style w:type="character" w:styleId="ab">
    <w:name w:val="FollowedHyperlink"/>
    <w:rsid w:val="00453BA2"/>
    <w:rPr>
      <w:color w:val="800080"/>
      <w:u w:val="single"/>
    </w:rPr>
  </w:style>
  <w:style w:type="paragraph" w:customStyle="1" w:styleId="CharChar1">
    <w:name w:val="Char Char1"/>
    <w:basedOn w:val="a"/>
    <w:qFormat/>
    <w:rsid w:val="00453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AD0FE8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4E3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53BA2"/>
  </w:style>
  <w:style w:type="character" w:customStyle="1" w:styleId="a3">
    <w:name w:val="Основной текст с отступом Знак"/>
    <w:link w:val="a4"/>
    <w:locked/>
    <w:rsid w:val="00453BA2"/>
    <w:rPr>
      <w:rFonts w:ascii="Calibri" w:hAnsi="Calibri"/>
      <w:sz w:val="32"/>
      <w:szCs w:val="32"/>
      <w:lang w:val="uk-UA"/>
    </w:rPr>
  </w:style>
  <w:style w:type="paragraph" w:styleId="a4">
    <w:name w:val="Body Text Indent"/>
    <w:basedOn w:val="a"/>
    <w:link w:val="a3"/>
    <w:rsid w:val="00453BA2"/>
    <w:pPr>
      <w:spacing w:after="120" w:line="240" w:lineRule="auto"/>
      <w:ind w:left="283"/>
    </w:pPr>
    <w:rPr>
      <w:rFonts w:ascii="Calibri" w:hAnsi="Calibri"/>
      <w:sz w:val="32"/>
      <w:szCs w:val="32"/>
      <w:lang w:val="uk-UA"/>
    </w:rPr>
  </w:style>
  <w:style w:type="character" w:customStyle="1" w:styleId="10">
    <w:name w:val="Основной текст с отступом Знак1"/>
    <w:basedOn w:val="a0"/>
    <w:uiPriority w:val="99"/>
    <w:semiHidden/>
    <w:rsid w:val="00453BA2"/>
  </w:style>
  <w:style w:type="paragraph" w:customStyle="1" w:styleId="Just">
    <w:name w:val="Just"/>
    <w:rsid w:val="00453BA2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53BA2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rsid w:val="00453B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453B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53BA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rsid w:val="00453BA2"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_"/>
    <w:link w:val="3"/>
    <w:rsid w:val="00453BA2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453BA2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a">
    <w:name w:val="Hyperlink"/>
    <w:rsid w:val="00453BA2"/>
    <w:rPr>
      <w:color w:val="0000FF"/>
      <w:u w:val="single"/>
    </w:rPr>
  </w:style>
  <w:style w:type="character" w:styleId="ab">
    <w:name w:val="FollowedHyperlink"/>
    <w:rsid w:val="00453BA2"/>
    <w:rPr>
      <w:color w:val="800080"/>
      <w:u w:val="single"/>
    </w:rPr>
  </w:style>
  <w:style w:type="paragraph" w:customStyle="1" w:styleId="CharChar1">
    <w:name w:val="Char Char1"/>
    <w:basedOn w:val="a"/>
    <w:qFormat/>
    <w:rsid w:val="00453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AD0FE8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4E3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v.aren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2019-04-23T07:55:00Z</cp:lastPrinted>
  <dcterms:created xsi:type="dcterms:W3CDTF">2019-04-22T15:53:00Z</dcterms:created>
  <dcterms:modified xsi:type="dcterms:W3CDTF">2019-04-23T08:14:00Z</dcterms:modified>
</cp:coreProperties>
</file>