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781"/>
        <w:gridCol w:w="3948"/>
      </w:tblGrid>
      <w:tr w:rsidR="002F5276" w:rsidRPr="002F5276" w:rsidTr="0081706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276" w:rsidRPr="002F5276" w:rsidRDefault="002F5276" w:rsidP="002F52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7768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0122FC">
              <w:rPr>
                <w:rFonts w:cs="Times New Roman"/>
                <w:color w:val="000000"/>
                <w:sz w:val="20"/>
                <w:szCs w:val="20"/>
              </w:rPr>
              <w:t>Електронний  Аукціон на продовження договору оренди державного нерухомого майна –</w:t>
            </w:r>
            <w:r w:rsidRPr="000122FC">
              <w:rPr>
                <w:rStyle w:val="a4"/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нежитлових вбудованих приміщень</w:t>
            </w:r>
            <w:r w:rsidRPr="002F5276">
              <w:rPr>
                <w:rFonts w:cs="Times New Roman"/>
                <w:sz w:val="20"/>
                <w:szCs w:val="20"/>
              </w:rPr>
              <w:t xml:space="preserve">, загальною площею 65.69 </w:t>
            </w:r>
            <w:proofErr w:type="spellStart"/>
            <w:r w:rsidRPr="002F5276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2F5276">
              <w:rPr>
                <w:rFonts w:cs="Times New Roman"/>
                <w:sz w:val="20"/>
                <w:szCs w:val="20"/>
              </w:rPr>
              <w:t xml:space="preserve"> , в одноповерховій цегляній будівлі за адресою: м. Львів, вул. </w:t>
            </w:r>
            <w:proofErr w:type="spellStart"/>
            <w:r w:rsidRPr="002F5276">
              <w:rPr>
                <w:rFonts w:cs="Times New Roman"/>
                <w:sz w:val="20"/>
                <w:szCs w:val="20"/>
              </w:rPr>
              <w:t>Городоцька</w:t>
            </w:r>
            <w:proofErr w:type="spellEnd"/>
            <w:r w:rsidRPr="002F5276">
              <w:rPr>
                <w:rFonts w:cs="Times New Roman"/>
                <w:sz w:val="20"/>
                <w:szCs w:val="20"/>
              </w:rPr>
              <w:t xml:space="preserve">, 222, що перебувають на балансі </w:t>
            </w:r>
            <w:proofErr w:type="spellStart"/>
            <w:r w:rsidRPr="002F5276">
              <w:rPr>
                <w:rFonts w:cs="Times New Roman"/>
                <w:sz w:val="20"/>
                <w:szCs w:val="20"/>
              </w:rPr>
              <w:t>ДП</w:t>
            </w:r>
            <w:proofErr w:type="spellEnd"/>
            <w:r w:rsidRPr="002F5276">
              <w:rPr>
                <w:rFonts w:cs="Times New Roman"/>
                <w:sz w:val="20"/>
                <w:szCs w:val="20"/>
              </w:rPr>
              <w:t xml:space="preserve"> МОУ "Львівський завод збірних конструкцій"</w:t>
            </w:r>
            <w:r w:rsidRPr="000122FC">
              <w:rPr>
                <w:rFonts w:cs="Times New Roman"/>
                <w:color w:val="000000"/>
                <w:sz w:val="20"/>
                <w:szCs w:val="20"/>
              </w:rPr>
              <w:t xml:space="preserve">. Термін оренди 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0122FC">
              <w:rPr>
                <w:rFonts w:cs="Times New Roman"/>
                <w:color w:val="000000"/>
                <w:sz w:val="20"/>
                <w:szCs w:val="20"/>
              </w:rPr>
              <w:t xml:space="preserve"> роки 11 місяців. Ключ 7</w:t>
            </w:r>
            <w:r>
              <w:rPr>
                <w:rFonts w:cs="Times New Roman"/>
                <w:color w:val="000000"/>
                <w:sz w:val="20"/>
                <w:szCs w:val="20"/>
              </w:rPr>
              <w:t>768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881C0D" w:rsidP="002F5276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0122FC">
              <w:rPr>
                <w:rFonts w:cs="Times New Roman"/>
                <w:color w:val="000000"/>
                <w:sz w:val="20"/>
                <w:szCs w:val="20"/>
              </w:rPr>
              <w:t>вул. Січових Стрільців, 3, м. Львів, 79007,Україна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МОУ "Львівський завод збірних конструкцій"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08006864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79040, м. Львів, вул. </w:t>
            </w:r>
            <w:proofErr w:type="spellStart"/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>, 222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881C0D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81C0D">
              <w:rPr>
                <w:rFonts w:eastAsia="Times New Roman" w:cs="Times New Roman"/>
                <w:sz w:val="20"/>
                <w:szCs w:val="20"/>
                <w:lang w:eastAsia="uk-UA"/>
              </w:rPr>
              <w:t>517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797881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F5276" w:rsidRPr="002F5276" w:rsidTr="00817067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https://drive.google.com/open?id=1aXKBl84-59_aWbRJlT38xbM69FsG7x1-, https://drive.google.com/open?id=10ds9AdxYNTYSQClZ9As2fUKP81uUmGXR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proofErr w:type="spellStart"/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222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65.69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65.69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2F5276" w:rsidRPr="002F5276" w:rsidTr="00817067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2F527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https://drive.google.com/open?id=1fA86DH299GuwQJor1lqwRiuAZGkgXo3L</w:t>
              </w:r>
            </w:hyperlink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9,866.79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>0322623888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>0971770417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>lzzk@lzzk.com.ua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>lzzk@lzzk.com.ua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881C0D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81C0D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 22 грудня 2020</w:t>
            </w:r>
            <w:r w:rsidR="002F5276"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подан</w:t>
            </w:r>
            <w:r w:rsidR="00881C0D" w:rsidRPr="00881C0D">
              <w:rPr>
                <w:rFonts w:eastAsia="Times New Roman" w:cs="Times New Roman"/>
                <w:sz w:val="20"/>
                <w:szCs w:val="20"/>
                <w:lang w:eastAsia="uk-UA"/>
              </w:rPr>
              <w:t>ня заяви на участь в аукціоні 21 грудня 2020</w:t>
            </w:r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>98.67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817067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17067">
              <w:rPr>
                <w:rFonts w:eastAsia="Times New Roman" w:cs="Times New Roman"/>
                <w:sz w:val="20"/>
                <w:szCs w:val="20"/>
                <w:lang w:eastAsia="uk-UA"/>
              </w:rPr>
              <w:t>4933,40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817067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17067">
              <w:rPr>
                <w:rFonts w:eastAsia="Times New Roman" w:cs="Times New Roman"/>
                <w:sz w:val="20"/>
                <w:szCs w:val="20"/>
                <w:lang w:eastAsia="uk-UA"/>
              </w:rPr>
              <w:t>19733,58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2F527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Рахунок № UA 878201720355239001001157855</w:t>
            </w:r>
          </w:p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Банк отримувача: ДКСУ, м. Київ, МФО 820172</w:t>
            </w:r>
          </w:p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42899921</w:t>
            </w:r>
          </w:p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іноземній валюті:</w:t>
            </w:r>
          </w:p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юридичної особи –00032112</w:t>
            </w:r>
          </w:p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Валюта рахунку – EUR</w:t>
            </w:r>
          </w:p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Валюта рахунку – USD</w:t>
            </w:r>
          </w:p>
          <w:p w:rsidR="00817067" w:rsidRPr="000122FC" w:rsidRDefault="00817067" w:rsidP="0081706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2F5276" w:rsidRPr="002F5276" w:rsidRDefault="00817067" w:rsidP="00817067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0122FC">
              <w:rPr>
                <w:rFonts w:cs="Times New Roman"/>
                <w:sz w:val="20"/>
                <w:szCs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2F527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817067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17067">
              <w:rPr>
                <w:rFonts w:eastAsia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>2000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</w:t>
            </w: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2F527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https://drive.google.com/open?id=1xiSUAF6L</w:t>
              </w:r>
              <w:r w:rsidRPr="002F527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lastRenderedPageBreak/>
                <w:t>G_3fM-R9KFIc8hpvi2uDQmxi</w:t>
              </w:r>
            </w:hyperlink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2F527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7768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ФОП</w:t>
            </w:r>
            <w:proofErr w:type="spellEnd"/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Бокало</w:t>
            </w:r>
            <w:proofErr w:type="spellEnd"/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Оксана Іванівна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10/25/2011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0 місяць/місяців, 364 день/днів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20-Oct-2020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2F527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2F527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2F5276" w:rsidRPr="002F5276" w:rsidTr="0081706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276" w:rsidRPr="002F5276" w:rsidRDefault="002F5276" w:rsidP="002F527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2F527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2F527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2F527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2F527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3F145A" w:rsidRDefault="003F145A"/>
    <w:sectPr w:rsidR="003F145A" w:rsidSect="003F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276"/>
    <w:rsid w:val="002F5276"/>
    <w:rsid w:val="003F145A"/>
    <w:rsid w:val="00817067"/>
    <w:rsid w:val="0088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276"/>
    <w:rPr>
      <w:color w:val="0000FF"/>
      <w:u w:val="single"/>
    </w:rPr>
  </w:style>
  <w:style w:type="character" w:customStyle="1" w:styleId="a4">
    <w:name w:val="Печатная машинка"/>
    <w:rsid w:val="002F5276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817067"/>
    <w:rPr>
      <w:rFonts w:asciiTheme="minorHAnsi" w:hAnsiTheme="minorHAnsi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xiSUAF6LG_3fM-R9KFIc8hpvi2uDQm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fA86DH299GuwQJor1lqwRiuAZGkgXo3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5959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1</cp:revision>
  <dcterms:created xsi:type="dcterms:W3CDTF">2020-11-27T14:06:00Z</dcterms:created>
  <dcterms:modified xsi:type="dcterms:W3CDTF">2020-11-27T14:22:00Z</dcterms:modified>
</cp:coreProperties>
</file>