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3E" w:rsidRPr="000D73C3" w:rsidRDefault="000D73C3">
      <w:pPr>
        <w:rPr>
          <w:lang w:val="uk-UA"/>
        </w:rPr>
      </w:pPr>
      <w:r>
        <w:rPr>
          <w:lang w:val="uk-UA"/>
        </w:rPr>
        <w:t>Подальші дії  щодо об’єкту будуть відомі після закінчення карантину.</w:t>
      </w:r>
      <w:bookmarkStart w:id="0" w:name="_GoBack"/>
      <w:bookmarkEnd w:id="0"/>
    </w:p>
    <w:sectPr w:rsidR="00FE4C3E" w:rsidRPr="000D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C3"/>
    <w:rsid w:val="000D73C3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99EB9-323F-48E9-8ABC-ABB86E9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Povazhenko Yuliya</dc:creator>
  <cp:keywords/>
  <dc:description/>
  <cp:lastModifiedBy>Povazhenko Yuliya</cp:lastModifiedBy>
  <cp:revision>1</cp:revision>
  <dcterms:created xsi:type="dcterms:W3CDTF">2020-05-25T14:54:00Z</dcterms:created>
  <dcterms:modified xsi:type="dcterms:W3CDTF">2020-05-25T14:55:00Z</dcterms:modified>
</cp:coreProperties>
</file>