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both"/>
        <w:rPr>
          <w:lang w:val="uk-UA"/>
        </w:rPr>
      </w:pPr>
      <w:r>
        <w:rPr>
          <w:sz w:val="24"/>
          <w:szCs w:val="24"/>
          <w:lang w:val="uk-UA"/>
        </w:rPr>
        <w:t>*Примітка: Зазначені вимоги та положення в проєкті договору не є остаточними і вичерпними, і можуть бути доповнені і скориговані під час укладання Договору з переможцем Аукціону на підставі специфіки предмету та характеру об’єкту продажу та інших специфічних умов конкретного Договору. Підстава на право Продавця та Покупця змінювати основні вимоги до Договору це зміни діючого Цивільного, Господарського законодавства, а також право діяти в рамках Законів України.</w:t>
      </w:r>
    </w:p>
    <w:p>
      <w:pPr>
        <w:pStyle w:val="LOnormal"/>
        <w:jc w:val="both"/>
        <w:rPr>
          <w:lang w:val="uk-UA"/>
        </w:rPr>
      </w:pPr>
      <w:r>
        <w:rPr>
          <w:sz w:val="24"/>
          <w:szCs w:val="24"/>
          <w:lang w:val="uk-UA"/>
        </w:rPr>
        <w:t xml:space="preserve"> </w:t>
      </w:r>
    </w:p>
    <w:p>
      <w:pPr>
        <w:pStyle w:val="LOnormal"/>
        <w:jc w:val="center"/>
        <w:rPr>
          <w:lang w:val="uk-UA"/>
        </w:rPr>
      </w:pPr>
      <w:r>
        <w:rPr>
          <w:b/>
          <w:sz w:val="24"/>
          <w:szCs w:val="24"/>
          <w:lang w:val="uk-UA"/>
        </w:rPr>
        <w:t xml:space="preserve">ДОГОВІР №______ </w:t>
      </w:r>
    </w:p>
    <w:p>
      <w:pPr>
        <w:pStyle w:val="LOnormal"/>
        <w:jc w:val="center"/>
        <w:rPr>
          <w:lang w:val="uk-UA"/>
        </w:rPr>
      </w:pPr>
      <w:r>
        <w:rPr>
          <w:sz w:val="24"/>
          <w:szCs w:val="24"/>
          <w:lang w:val="uk-UA"/>
        </w:rPr>
        <w:t xml:space="preserve">купівлі-продажу транспортного засобу </w:t>
      </w:r>
    </w:p>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p>
    <w:tbl>
      <w:tblPr>
        <w:tblStyle w:val="Table1"/>
        <w:tblW w:w="9637" w:type="dxa"/>
        <w:jc w:val="left"/>
        <w:tblInd w:w="0" w:type="dxa"/>
        <w:tblLayout w:type="fixed"/>
        <w:tblCellMar>
          <w:top w:w="0" w:type="dxa"/>
          <w:left w:w="108" w:type="dxa"/>
          <w:bottom w:w="0" w:type="dxa"/>
          <w:right w:w="108" w:type="dxa"/>
        </w:tblCellMar>
        <w:tblLook w:val="0000"/>
      </w:tblPr>
      <w:tblGrid>
        <w:gridCol w:w="4819"/>
        <w:gridCol w:w="4817"/>
      </w:tblGrid>
      <w:tr>
        <w:trPr/>
        <w:tc>
          <w:tcPr>
            <w:tcW w:w="4819" w:type="dxa"/>
            <w:tcBorders/>
          </w:tcPr>
          <w:p>
            <w:pPr>
              <w:pStyle w:val="LOnormal"/>
              <w:widowControl w:val="false"/>
              <w:jc w:val="both"/>
              <w:rPr>
                <w:sz w:val="24"/>
                <w:szCs w:val="24"/>
                <w:lang w:val="uk-UA"/>
              </w:rPr>
            </w:pPr>
            <w:r>
              <w:rPr>
                <w:sz w:val="24"/>
                <w:szCs w:val="24"/>
                <w:lang w:val="uk-UA"/>
              </w:rPr>
              <w:t>м. Київ</w:t>
            </w:r>
          </w:p>
        </w:tc>
        <w:tc>
          <w:tcPr>
            <w:tcW w:w="4817" w:type="dxa"/>
            <w:tcBorders/>
          </w:tcPr>
          <w:p>
            <w:pPr>
              <w:pStyle w:val="LOnormal"/>
              <w:widowControl w:val="false"/>
              <w:jc w:val="right"/>
              <w:rPr>
                <w:sz w:val="24"/>
                <w:szCs w:val="24"/>
                <w:lang w:val="uk-UA"/>
              </w:rPr>
            </w:pPr>
            <w:r>
              <w:rPr>
                <w:sz w:val="24"/>
                <w:szCs w:val="24"/>
                <w:lang w:val="uk-UA"/>
              </w:rPr>
              <w:t xml:space="preserve">«___» _______________ 2021 року </w:t>
            </w:r>
          </w:p>
        </w:tc>
      </w:tr>
    </w:tbl>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LOnormal"/>
        <w:jc w:val="both"/>
        <w:rPr>
          <w:lang w:val="uk-UA"/>
        </w:rPr>
      </w:pPr>
      <w:r>
        <w:rPr>
          <w:sz w:val="24"/>
          <w:szCs w:val="24"/>
          <w:lang w:val="uk-UA"/>
        </w:rPr>
        <w:t xml:space="preserve">Департамент соціальної політики виконавчого органу Київської міської ради (Київської міської державної адміністрації), в особі _____________________, що діє на підставі Положення (надалі іменований – «Продавець»), з однієї сторони, та </w:t>
      </w:r>
    </w:p>
    <w:p>
      <w:pPr>
        <w:pStyle w:val="LOnormal"/>
        <w:jc w:val="both"/>
        <w:rPr>
          <w:lang w:val="uk-UA"/>
        </w:rPr>
      </w:pPr>
      <w:r>
        <w:rPr>
          <w:sz w:val="24"/>
          <w:szCs w:val="24"/>
          <w:lang w:val="uk-UA"/>
        </w:rPr>
        <w:t xml:space="preserve">__________________________________________________, (надалі іменований – «Покупець»), в особі _______________________, що діє на підставі ______________, з іншої сторони, надалі </w:t>
      </w:r>
    </w:p>
    <w:p>
      <w:pPr>
        <w:pStyle w:val="LOnormal"/>
        <w:jc w:val="both"/>
        <w:rPr>
          <w:lang w:val="uk-UA"/>
        </w:rPr>
      </w:pPr>
      <w:r>
        <w:rPr>
          <w:sz w:val="24"/>
          <w:szCs w:val="24"/>
          <w:lang w:val="uk-UA"/>
        </w:rPr>
        <w:t xml:space="preserve">разом іменовані "Сторони", а окремо "Сторона", уклали Договір про наступне: </w:t>
      </w:r>
    </w:p>
    <w:p>
      <w:pPr>
        <w:pStyle w:val="LOnormal"/>
        <w:numPr>
          <w:ilvl w:val="0"/>
          <w:numId w:val="1"/>
        </w:numPr>
        <w:spacing w:lineRule="auto" w:line="240" w:before="312" w:after="156"/>
        <w:ind w:left="720" w:hanging="360"/>
        <w:jc w:val="center"/>
        <w:rPr>
          <w:lang w:val="uk-UA"/>
        </w:rPr>
      </w:pPr>
      <w:r>
        <w:rPr>
          <w:b/>
          <w:sz w:val="24"/>
          <w:szCs w:val="24"/>
          <w:lang w:val="uk-UA"/>
        </w:rPr>
        <w:t>ПРЕДМЕТ ДОГОВОРУ</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На умовах, викладених в цьому Договорі, Продавець зобов’язується передати у власність Покупця, а Покупець прийняти та оплатити транспортний засіб автомобіль марки Daewoo Nubira 1.6 (об’єм двигуна 1598 см3), тип ТЗ легковий седан - В, синього кольору, 1998 року випуску, заводський номер KLAJF696EWK209899, реєстраційний державний № 35960КА (надалі іменований – «Транспортний засіб»), кількість та ціна якого зазначені в Специфікації, яка оформлена у вигляді Додатку 1 до цього Договору та є його невід’ємною частиною.</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Продавець гарантує, що Транспортний засіб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Договір укладений згідно результатів та умов електронного аукціону ________________________________.</w:t>
      </w:r>
    </w:p>
    <w:p>
      <w:pPr>
        <w:pStyle w:val="LOnormal"/>
        <w:numPr>
          <w:ilvl w:val="0"/>
          <w:numId w:val="1"/>
        </w:numPr>
        <w:spacing w:lineRule="auto" w:line="240" w:before="312" w:after="156"/>
        <w:ind w:left="720" w:hanging="360"/>
        <w:jc w:val="center"/>
        <w:rPr>
          <w:lang w:val="uk-UA"/>
        </w:rPr>
      </w:pPr>
      <w:r>
        <w:rPr>
          <w:b/>
          <w:sz w:val="24"/>
          <w:szCs w:val="24"/>
          <w:lang w:val="uk-UA"/>
        </w:rPr>
        <w:t>ЦІНА ТА ПОРЯДОК РОЗРАХУНКІВ</w:t>
      </w:r>
    </w:p>
    <w:p>
      <w:pPr>
        <w:pStyle w:val="LOnormal"/>
        <w:widowControl/>
        <w:numPr>
          <w:ilvl w:val="1"/>
          <w:numId w:val="1"/>
        </w:numPr>
        <w:tabs>
          <w:tab w:val="clear" w:pos="720"/>
          <w:tab w:val="left" w:pos="450" w:leader="none"/>
        </w:tabs>
        <w:spacing w:lineRule="auto" w:line="240" w:before="0" w:after="0"/>
        <w:ind w:left="0" w:right="0" w:hanging="0"/>
        <w:jc w:val="both"/>
        <w:rPr>
          <w:lang w:val="uk-UA"/>
        </w:rPr>
      </w:pPr>
      <w:r>
        <w:rPr>
          <w:sz w:val="24"/>
          <w:szCs w:val="24"/>
          <w:lang w:val="uk-UA"/>
        </w:rPr>
        <w:t>Ціна на Транспортний засіб становить ______ гривень (сума прописом) без ПДВ.</w:t>
      </w:r>
    </w:p>
    <w:p>
      <w:pPr>
        <w:pStyle w:val="LOnormal"/>
        <w:widowControl/>
        <w:numPr>
          <w:ilvl w:val="1"/>
          <w:numId w:val="1"/>
        </w:numPr>
        <w:tabs>
          <w:tab w:val="clear" w:pos="720"/>
          <w:tab w:val="left" w:pos="450" w:leader="none"/>
        </w:tabs>
        <w:bidi w:val="0"/>
        <w:spacing w:lineRule="auto" w:line="240" w:before="0" w:after="0"/>
        <w:ind w:left="0" w:right="0" w:hanging="0"/>
        <w:jc w:val="both"/>
        <w:rPr>
          <w:lang w:val="uk-UA"/>
        </w:rPr>
      </w:pPr>
      <w:r>
        <w:rPr>
          <w:sz w:val="24"/>
          <w:szCs w:val="24"/>
          <w:lang w:val="uk-UA"/>
        </w:rPr>
        <w:t>Оплата грошових коштів, визначених у Договорі, за Транспортний засіб здійснюється Покупцем на умовах 100% (сто відсотків) передоплати, у безготівковій формі в національній валюті України шляхом перерахування грошових коштів на розрахунковий рахунок Продавця протягом 5-ти (</w:t>
      </w:r>
      <w:r>
        <w:rPr>
          <w:color w:val="000000"/>
          <w:sz w:val="24"/>
          <w:szCs w:val="24"/>
          <w:lang w:val="uk-UA"/>
        </w:rPr>
        <w:t>п’яти</w:t>
      </w:r>
      <w:r>
        <w:rPr>
          <w:sz w:val="24"/>
          <w:szCs w:val="24"/>
          <w:lang w:val="uk-UA"/>
        </w:rPr>
        <w:t>) банківсь</w:t>
      </w:r>
      <w:r>
        <w:rPr>
          <w:sz w:val="24"/>
          <w:szCs w:val="24"/>
          <w:shd w:fill="auto" w:val="clear"/>
          <w:lang w:val="uk-UA"/>
        </w:rPr>
        <w:t>ких днів від дати отримання Рахунку – фактури.</w:t>
      </w:r>
    </w:p>
    <w:p>
      <w:pPr>
        <w:pStyle w:val="LOnormal"/>
        <w:widowControl/>
        <w:numPr>
          <w:ilvl w:val="1"/>
          <w:numId w:val="1"/>
        </w:numPr>
        <w:tabs>
          <w:tab w:val="clear" w:pos="720"/>
          <w:tab w:val="left" w:pos="450" w:leader="none"/>
        </w:tabs>
        <w:spacing w:lineRule="auto" w:line="240" w:before="0" w:after="0"/>
        <w:ind w:left="0" w:right="0" w:hanging="0"/>
        <w:jc w:val="both"/>
        <w:rPr>
          <w:lang w:val="uk-UA"/>
        </w:rPr>
      </w:pPr>
      <w:r>
        <w:rPr>
          <w:sz w:val="24"/>
          <w:szCs w:val="24"/>
          <w:lang w:val="uk-UA"/>
        </w:rPr>
        <w:t xml:space="preserve">Датою оплати є дата зарахування грошових коштів, визначених у Специфікації (додаток 1 до Договору), на розрахунковий рахунок Продавця. </w:t>
      </w:r>
    </w:p>
    <w:p>
      <w:pPr>
        <w:pStyle w:val="LOnormal"/>
        <w:numPr>
          <w:ilvl w:val="0"/>
          <w:numId w:val="1"/>
        </w:numPr>
        <w:spacing w:lineRule="auto" w:line="240" w:before="312" w:after="156"/>
        <w:ind w:left="720" w:hanging="360"/>
        <w:jc w:val="center"/>
        <w:rPr>
          <w:lang w:val="uk-UA"/>
        </w:rPr>
      </w:pPr>
      <w:r>
        <w:rPr>
          <w:b/>
          <w:sz w:val="24"/>
          <w:szCs w:val="24"/>
          <w:lang w:val="uk-UA"/>
        </w:rPr>
        <w:t>ПОРЯДОК ПРИЙМАННЯ-ПЕРЕДАЧІ ТОВАРУ</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Базисні умови передачі товару: самовивіз Транспортного засобу з території Продавця здійснюється за рахунок Покупця. Всі витрати по завантаженню Транспортного засобу, якщо таке потрібно, несе Покупець.</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Передача Транспортного засобу, відбувається в місці його знаходження за адресою: м. Київ, пр-т. Любомира Гузара, 7</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Фактичне приймання-передача Транспортного засобу оформлюється Актом приймання-передачі (Додаток №2 до Договору), що підписується уповноваженими особами Продавця і Покупця та здійснюється протягом 5 (п’яти) робочих днів після отримання оплати за ТЗ згідно з п. 2.2. цього Договору.</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Право власності на Транспортний засіб переходить від Продавця до Покупця в момент фактичної передачі Транспортного засобу Покупцю відповідно до п. 3.3. Договору.</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Зняття з обліку та перереєстрація транспортного засобу на нового власника здійснюється за рахунок Покупця.</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 xml:space="preserve">З моменту фактичної передачі ТЗ Покупцю ризики випадкового знищення або випадкового пошкодження ТЗ переходять до Покупця. </w:t>
      </w:r>
    </w:p>
    <w:p>
      <w:pPr>
        <w:pStyle w:val="LOnormal"/>
        <w:numPr>
          <w:ilvl w:val="0"/>
          <w:numId w:val="1"/>
        </w:numPr>
        <w:spacing w:lineRule="auto" w:line="240" w:before="312" w:after="156"/>
        <w:ind w:left="720" w:hanging="360"/>
        <w:jc w:val="center"/>
        <w:rPr>
          <w:lang w:val="uk-UA"/>
        </w:rPr>
      </w:pPr>
      <w:r>
        <w:rPr>
          <w:b/>
          <w:sz w:val="24"/>
          <w:szCs w:val="24"/>
          <w:lang w:val="uk-UA"/>
        </w:rPr>
        <w:t>ПРАВА ТА ОБОВ'ЯЗКИ СТОРІН</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 xml:space="preserve">Обов'язки Продавця: </w:t>
      </w:r>
    </w:p>
    <w:p>
      <w:pPr>
        <w:pStyle w:val="LOnormal"/>
        <w:widowControl/>
        <w:numPr>
          <w:ilvl w:val="2"/>
          <w:numId w:val="1"/>
        </w:numPr>
        <w:tabs>
          <w:tab w:val="clear" w:pos="720"/>
          <w:tab w:val="left" w:pos="735" w:leader="none"/>
          <w:tab w:val="left" w:pos="1065" w:leader="none"/>
        </w:tabs>
        <w:spacing w:lineRule="auto" w:line="240" w:before="0" w:after="0"/>
        <w:ind w:left="0" w:right="0" w:hanging="0"/>
        <w:jc w:val="both"/>
        <w:rPr>
          <w:lang w:val="uk-UA"/>
        </w:rPr>
      </w:pPr>
      <w:r>
        <w:rPr>
          <w:sz w:val="24"/>
          <w:szCs w:val="24"/>
          <w:lang w:val="uk-UA"/>
        </w:rPr>
        <w:t xml:space="preserve">За умови належного виконання Покупцем грошових зобов’язань за цим Договором, передати Транспортний засіб Покупцю у стані, обумовленому цим Договором. </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 xml:space="preserve">Права Продавця: </w:t>
      </w:r>
    </w:p>
    <w:p>
      <w:pPr>
        <w:pStyle w:val="LOnormal"/>
        <w:widowControl/>
        <w:numPr>
          <w:ilvl w:val="2"/>
          <w:numId w:val="1"/>
        </w:numPr>
        <w:tabs>
          <w:tab w:val="clear" w:pos="720"/>
          <w:tab w:val="left" w:pos="675" w:leader="none"/>
        </w:tabs>
        <w:spacing w:lineRule="auto" w:line="240" w:before="0" w:after="0"/>
        <w:ind w:left="0" w:right="0" w:hanging="0"/>
        <w:jc w:val="both"/>
        <w:rPr>
          <w:lang w:val="uk-UA"/>
        </w:rPr>
      </w:pPr>
      <w:r>
        <w:rPr>
          <w:sz w:val="24"/>
          <w:szCs w:val="24"/>
          <w:lang w:val="uk-UA"/>
        </w:rPr>
        <w:t xml:space="preserve">Вимагати сплати встановленої ціни Транспортного засобу відповідно до умов цього Договору; </w:t>
      </w:r>
    </w:p>
    <w:p>
      <w:pPr>
        <w:pStyle w:val="LOnormal"/>
        <w:widowControl/>
        <w:numPr>
          <w:ilvl w:val="2"/>
          <w:numId w:val="1"/>
        </w:numPr>
        <w:tabs>
          <w:tab w:val="clear" w:pos="720"/>
          <w:tab w:val="left" w:pos="675" w:leader="none"/>
        </w:tabs>
        <w:spacing w:lineRule="auto" w:line="240" w:before="0" w:after="0"/>
        <w:ind w:left="0" w:right="0" w:hanging="0"/>
        <w:jc w:val="both"/>
        <w:rPr>
          <w:lang w:val="uk-UA"/>
        </w:rPr>
      </w:pPr>
      <w:r>
        <w:rPr>
          <w:sz w:val="24"/>
          <w:szCs w:val="24"/>
          <w:lang w:val="uk-UA"/>
        </w:rPr>
        <w:t>Вимагати прийняття Транспортний засіб Покупцем у стані, обумовленому цим Договором;</w:t>
      </w:r>
    </w:p>
    <w:p>
      <w:pPr>
        <w:pStyle w:val="LOnormal"/>
        <w:widowControl/>
        <w:numPr>
          <w:ilvl w:val="2"/>
          <w:numId w:val="1"/>
        </w:numPr>
        <w:tabs>
          <w:tab w:val="clear" w:pos="720"/>
          <w:tab w:val="left" w:pos="675" w:leader="none"/>
        </w:tabs>
        <w:spacing w:lineRule="auto" w:line="240" w:before="0" w:after="0"/>
        <w:ind w:left="0" w:right="0" w:hanging="0"/>
        <w:jc w:val="both"/>
        <w:rPr>
          <w:lang w:val="uk-UA"/>
        </w:rPr>
      </w:pPr>
      <w:r>
        <w:rPr>
          <w:sz w:val="24"/>
          <w:szCs w:val="24"/>
          <w:lang w:val="uk-UA"/>
        </w:rPr>
        <w:t>Вимагати від Покупця виконання інших обов'язків за цим Договором.</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Обов'язки Покупця:</w:t>
      </w:r>
    </w:p>
    <w:p>
      <w:pPr>
        <w:pStyle w:val="LOnormal"/>
        <w:widowControl/>
        <w:numPr>
          <w:ilvl w:val="2"/>
          <w:numId w:val="1"/>
        </w:numPr>
        <w:tabs>
          <w:tab w:val="clear" w:pos="720"/>
          <w:tab w:val="left" w:pos="675" w:leader="none"/>
        </w:tabs>
        <w:spacing w:lineRule="auto" w:line="240" w:before="0" w:after="0"/>
        <w:ind w:left="0" w:right="0" w:hanging="0"/>
        <w:jc w:val="both"/>
        <w:rPr>
          <w:lang w:val="uk-UA"/>
        </w:rPr>
      </w:pPr>
      <w:r>
        <w:rPr>
          <w:sz w:val="24"/>
          <w:szCs w:val="24"/>
          <w:lang w:val="uk-UA"/>
        </w:rPr>
        <w:t>В порядку визначеному цим Договором сплатити Продавцю встановлену ціну Транспортного засобу</w:t>
      </w:r>
    </w:p>
    <w:p>
      <w:pPr>
        <w:pStyle w:val="LOnormal"/>
        <w:widowControl/>
        <w:numPr>
          <w:ilvl w:val="2"/>
          <w:numId w:val="1"/>
        </w:numPr>
        <w:tabs>
          <w:tab w:val="clear" w:pos="720"/>
          <w:tab w:val="left" w:pos="675" w:leader="none"/>
        </w:tabs>
        <w:spacing w:lineRule="auto" w:line="240" w:before="0" w:after="0"/>
        <w:ind w:left="0" w:right="0" w:hanging="0"/>
        <w:jc w:val="both"/>
        <w:rPr>
          <w:lang w:val="uk-UA"/>
        </w:rPr>
      </w:pPr>
      <w:r>
        <w:rPr>
          <w:sz w:val="24"/>
          <w:szCs w:val="24"/>
          <w:lang w:val="uk-UA"/>
        </w:rPr>
        <w:t>Нести витрати по зняттю з обліку Транспортного засобу в Регіональному сервісному центрі МВС України та інші витрати передбачені законодавством України необхідних для реєстрації/перереєстрації ТЗ.</w:t>
      </w:r>
    </w:p>
    <w:p>
      <w:pPr>
        <w:pStyle w:val="LOnormal"/>
        <w:widowControl/>
        <w:numPr>
          <w:ilvl w:val="2"/>
          <w:numId w:val="1"/>
        </w:numPr>
        <w:tabs>
          <w:tab w:val="clear" w:pos="720"/>
          <w:tab w:val="left" w:pos="675" w:leader="none"/>
        </w:tabs>
        <w:spacing w:lineRule="auto" w:line="240" w:before="0" w:after="0"/>
        <w:ind w:left="0" w:right="0" w:hanging="0"/>
        <w:jc w:val="both"/>
        <w:rPr>
          <w:lang w:val="uk-UA"/>
        </w:rPr>
      </w:pPr>
      <w:r>
        <w:rPr>
          <w:sz w:val="24"/>
          <w:szCs w:val="24"/>
          <w:lang w:val="uk-UA"/>
        </w:rPr>
        <w:t>Прийняти ТЗ від Продавця у стані, обумовленому цим Договором.</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Права Покупця:</w:t>
      </w:r>
    </w:p>
    <w:p>
      <w:pPr>
        <w:pStyle w:val="LOnormal"/>
        <w:widowControl/>
        <w:numPr>
          <w:ilvl w:val="2"/>
          <w:numId w:val="1"/>
        </w:numPr>
        <w:tabs>
          <w:tab w:val="clear" w:pos="720"/>
          <w:tab w:val="left" w:pos="735" w:leader="none"/>
        </w:tabs>
        <w:spacing w:lineRule="auto" w:line="240" w:before="0" w:after="0"/>
        <w:ind w:left="0" w:right="0" w:hanging="0"/>
        <w:jc w:val="both"/>
        <w:rPr>
          <w:lang w:val="uk-UA"/>
        </w:rPr>
      </w:pPr>
      <w:r>
        <w:rPr>
          <w:sz w:val="24"/>
          <w:szCs w:val="24"/>
          <w:lang w:val="uk-UA"/>
        </w:rPr>
        <w:t>За умови належного виконання своїх грошових зобов’язань за цим Договором, вимагати від Продавця передачі ТЗ у стані, обумовленому цим Договором;</w:t>
      </w:r>
    </w:p>
    <w:p>
      <w:pPr>
        <w:pStyle w:val="LOnormal"/>
        <w:widowControl/>
        <w:numPr>
          <w:ilvl w:val="2"/>
          <w:numId w:val="1"/>
        </w:numPr>
        <w:tabs>
          <w:tab w:val="clear" w:pos="720"/>
          <w:tab w:val="left" w:pos="735" w:leader="none"/>
        </w:tabs>
        <w:spacing w:lineRule="auto" w:line="240" w:before="0" w:after="0"/>
        <w:ind w:left="0" w:right="0" w:hanging="0"/>
        <w:jc w:val="both"/>
        <w:rPr>
          <w:lang w:val="uk-UA"/>
        </w:rPr>
      </w:pPr>
      <w:r>
        <w:rPr>
          <w:sz w:val="24"/>
          <w:szCs w:val="24"/>
          <w:lang w:val="uk-UA"/>
        </w:rPr>
        <w:t xml:space="preserve">Вимагати від Продавця виконання інших обов'язків за цим Договором; </w:t>
      </w:r>
    </w:p>
    <w:p>
      <w:pPr>
        <w:pStyle w:val="LOnormal"/>
        <w:widowControl/>
        <w:numPr>
          <w:ilvl w:val="2"/>
          <w:numId w:val="1"/>
        </w:numPr>
        <w:tabs>
          <w:tab w:val="clear" w:pos="720"/>
          <w:tab w:val="left" w:pos="735" w:leader="none"/>
        </w:tabs>
        <w:spacing w:lineRule="auto" w:line="240" w:before="0" w:after="0"/>
        <w:ind w:left="0" w:right="0" w:hanging="0"/>
        <w:jc w:val="both"/>
        <w:rPr>
          <w:lang w:val="uk-UA"/>
        </w:rPr>
      </w:pPr>
      <w:r>
        <w:rPr>
          <w:sz w:val="24"/>
          <w:szCs w:val="24"/>
          <w:lang w:val="uk-UA"/>
        </w:rPr>
        <w:t xml:space="preserve">Інші права та обов'язки Сторін визначаються згідно з чинним законодавством. </w:t>
      </w:r>
    </w:p>
    <w:p>
      <w:pPr>
        <w:pStyle w:val="LOnormal"/>
        <w:numPr>
          <w:ilvl w:val="0"/>
          <w:numId w:val="1"/>
        </w:numPr>
        <w:spacing w:lineRule="auto" w:line="240" w:before="312" w:after="156"/>
        <w:ind w:left="720" w:hanging="360"/>
        <w:jc w:val="center"/>
        <w:rPr>
          <w:lang w:val="uk-UA"/>
        </w:rPr>
      </w:pPr>
      <w:r>
        <w:rPr>
          <w:b/>
          <w:sz w:val="24"/>
          <w:szCs w:val="24"/>
          <w:lang w:val="uk-UA"/>
        </w:rPr>
        <w:t>ВІДПОВІДАЛЬНІСТЬ СТОРІН</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У разі порушення Покупцем терміну розрахунків за Транспортний засіб, Покупець за кожен день прострочення платежу, сплачує Продавцю пеню в розмірі подвійної облікової ставки НБУ від несплаченої суми, що діє в період нарахування.</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У разі не передачі Транспортного засобу, або порушення Продавцем терміну передачі Транспортного засобу Продавець за кожен день прострочення, сплачує Покупцю пеню в розмірі подвійної облікової ставки НБУ від вартості непереданого в строк Транспортного засобу.</w:t>
      </w:r>
    </w:p>
    <w:p>
      <w:pPr>
        <w:pStyle w:val="LOnormal"/>
        <w:numPr>
          <w:ilvl w:val="0"/>
          <w:numId w:val="1"/>
        </w:numPr>
        <w:spacing w:lineRule="auto" w:line="240" w:before="312" w:after="156"/>
        <w:ind w:left="720" w:hanging="360"/>
        <w:jc w:val="center"/>
        <w:rPr>
          <w:lang w:val="uk-UA"/>
        </w:rPr>
      </w:pPr>
      <w:r>
        <w:rPr>
          <w:b/>
          <w:sz w:val="24"/>
          <w:szCs w:val="24"/>
          <w:lang w:val="uk-UA"/>
        </w:rPr>
        <w:t xml:space="preserve">ФОРС-МАЖОР </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проток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проток, портів, перевалів, землетрус, блискавка, пожежа, засуха, просідання і зрушення грунту, інші стихійні лиха і тому подібне.</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форс-мажорних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Терміни виконання Сторонами зобов'язань за даною угодою подовжуються пропорційно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 xml:space="preserve">Повідомлення, передбачені пунктом 7.3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 </w:t>
      </w:r>
    </w:p>
    <w:p>
      <w:pPr>
        <w:pStyle w:val="LOnormal"/>
        <w:numPr>
          <w:ilvl w:val="0"/>
          <w:numId w:val="1"/>
        </w:numPr>
        <w:spacing w:lineRule="auto" w:line="240" w:before="312" w:after="156"/>
        <w:ind w:left="720" w:hanging="360"/>
        <w:jc w:val="center"/>
        <w:rPr>
          <w:lang w:val="uk-UA"/>
        </w:rPr>
      </w:pPr>
      <w:r>
        <w:rPr>
          <w:b/>
          <w:sz w:val="24"/>
          <w:szCs w:val="24"/>
          <w:lang w:val="uk-UA"/>
        </w:rPr>
        <w:t>ПОРЯДОК ВИРІШЕННЯ СПОРІВ</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 xml:space="preserve">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 </w:t>
      </w:r>
    </w:p>
    <w:p>
      <w:pPr>
        <w:pStyle w:val="LOnormal"/>
        <w:numPr>
          <w:ilvl w:val="0"/>
          <w:numId w:val="1"/>
        </w:numPr>
        <w:spacing w:lineRule="auto" w:line="240" w:before="312" w:after="156"/>
        <w:ind w:left="720" w:hanging="360"/>
        <w:jc w:val="center"/>
        <w:rPr>
          <w:lang w:val="uk-UA"/>
        </w:rPr>
      </w:pPr>
      <w:r>
        <w:rPr>
          <w:b/>
          <w:sz w:val="24"/>
          <w:szCs w:val="24"/>
          <w:lang w:val="uk-UA"/>
        </w:rPr>
        <w:t>ТЕРМІН ДІЇ ДОГОВОРУ ТА ІНШІ УМОВИ</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Договір набуває чинності з моменту його підписання і діє до «31» грудня 2021 року, але в будь-якому випадку до моменту виконання Сторонами зобов’язань за цим Договором.</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Продавець не має права передавати свої права за договором третій Стороні без попередньої письмової згоди Покупця.</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pPr>
        <w:pStyle w:val="LOnormal"/>
        <w:widowControl/>
        <w:numPr>
          <w:ilvl w:val="1"/>
          <w:numId w:val="1"/>
        </w:numPr>
        <w:tabs>
          <w:tab w:val="clear" w:pos="720"/>
          <w:tab w:val="left" w:pos="510" w:leader="none"/>
        </w:tabs>
        <w:spacing w:lineRule="auto" w:line="240" w:before="0" w:after="0"/>
        <w:ind w:left="0" w:right="0" w:hanging="0"/>
        <w:jc w:val="both"/>
        <w:rPr>
          <w:lang w:val="uk-UA"/>
        </w:rPr>
      </w:pPr>
      <w:r>
        <w:rPr>
          <w:sz w:val="24"/>
          <w:szCs w:val="24"/>
          <w:lang w:val="uk-UA"/>
        </w:rPr>
        <w:t>Цей Договір складений у двох автентичних примірниках, які мають однакову юридичну силу, по одному для кожної зі Сторін.</w:t>
      </w:r>
    </w:p>
    <w:p>
      <w:pPr>
        <w:pStyle w:val="LOnormal"/>
        <w:numPr>
          <w:ilvl w:val="0"/>
          <w:numId w:val="1"/>
        </w:numPr>
        <w:spacing w:lineRule="auto" w:line="240" w:before="312" w:after="156"/>
        <w:ind w:left="720" w:hanging="360"/>
        <w:jc w:val="center"/>
        <w:rPr>
          <w:lang w:val="uk-UA"/>
        </w:rPr>
      </w:pPr>
      <w:r>
        <w:rPr>
          <w:b/>
          <w:sz w:val="24"/>
          <w:szCs w:val="24"/>
          <w:lang w:val="uk-UA"/>
        </w:rPr>
        <w:t>ЮРИДИЧНІ АДРЕСИ, РЕКВІЗИТИ ТА ПІДПИСИ СТОРІН</w:t>
      </w:r>
    </w:p>
    <w:tbl>
      <w:tblPr>
        <w:tblStyle w:val="Table2"/>
        <w:tblW w:w="9637" w:type="dxa"/>
        <w:jc w:val="left"/>
        <w:tblInd w:w="0" w:type="dxa"/>
        <w:tblLayout w:type="fixed"/>
        <w:tblCellMar>
          <w:top w:w="0" w:type="dxa"/>
          <w:left w:w="108" w:type="dxa"/>
          <w:bottom w:w="0" w:type="dxa"/>
          <w:right w:w="108" w:type="dxa"/>
        </w:tblCellMar>
        <w:tblLook w:val="0000"/>
      </w:tblPr>
      <w:tblGrid>
        <w:gridCol w:w="4818"/>
        <w:gridCol w:w="4818"/>
      </w:tblGrid>
      <w:tr>
        <w:trPr/>
        <w:tc>
          <w:tcPr>
            <w:tcW w:w="4818" w:type="dxa"/>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lang w:val="uk-UA"/>
              </w:rPr>
              <w:t>ПРОДАВЕЦЬ</w:t>
            </w:r>
          </w:p>
        </w:tc>
        <w:tc>
          <w:tcPr>
            <w:tcW w:w="4818" w:type="dxa"/>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lang w:val="uk-UA"/>
              </w:rPr>
              <w:t>ПОКУПЕЦЬ</w:t>
            </w:r>
          </w:p>
        </w:tc>
      </w:tr>
      <w:tr>
        <w:trPr/>
        <w:tc>
          <w:tcPr>
            <w:tcW w:w="4818" w:type="dxa"/>
            <w:tcBorders/>
          </w:tcPr>
          <w:p>
            <w:pPr>
              <w:pStyle w:val="LOnormal"/>
              <w:widowControl w:val="false"/>
              <w:spacing w:lineRule="auto" w:line="240" w:before="0" w:after="0"/>
              <w:ind w:left="0" w:right="0" w:hanging="0"/>
              <w:jc w:val="both"/>
              <w:rPr>
                <w:lang w:val="uk-UA"/>
              </w:rPr>
            </w:pPr>
            <w:r>
              <w:rPr>
                <w:b w:val="false"/>
                <w:i w:val="false"/>
                <w:color w:val="000000"/>
                <w:sz w:val="24"/>
                <w:szCs w:val="24"/>
                <w:u w:val="none"/>
                <w:shd w:fill="auto" w:val="clear"/>
                <w:lang w:val="uk-UA"/>
              </w:rPr>
              <w:t xml:space="preserve">Найменування: </w:t>
            </w:r>
            <w:r>
              <w:rPr>
                <w:b w:val="false"/>
                <w:i w:val="false"/>
                <w:sz w:val="24"/>
                <w:szCs w:val="24"/>
                <w:u w:val="none"/>
                <w:shd w:fill="auto" w:val="clear"/>
                <w:lang w:val="uk-UA"/>
              </w:rPr>
              <w:t>Департамент соціальної політики виконавчого органу Київської міської ради (Київської міської державної адміністрації)</w:t>
            </w:r>
          </w:p>
        </w:tc>
        <w:tc>
          <w:tcPr>
            <w:tcW w:w="4818" w:type="dxa"/>
            <w:tcBorders/>
          </w:tcPr>
          <w:p>
            <w:pPr>
              <w:pStyle w:val="LOnormal"/>
              <w:widowControl w:val="false"/>
              <w:jc w:val="both"/>
              <w:rPr>
                <w:sz w:val="24"/>
                <w:szCs w:val="24"/>
                <w:lang w:val="uk-UA"/>
              </w:rPr>
            </w:pPr>
            <w:r>
              <w:rPr>
                <w:color w:val="000000"/>
                <w:sz w:val="24"/>
                <w:szCs w:val="24"/>
                <w:lang w:val="uk-UA"/>
              </w:rPr>
              <w:t>Найменування:</w:t>
            </w:r>
          </w:p>
        </w:tc>
      </w:tr>
      <w:tr>
        <w:trPr/>
        <w:tc>
          <w:tcPr>
            <w:tcW w:w="4818" w:type="dxa"/>
            <w:tcBorders/>
          </w:tcPr>
          <w:p>
            <w:pPr>
              <w:pStyle w:val="LOnormal"/>
              <w:widowControl w:val="false"/>
              <w:spacing w:lineRule="auto" w:line="240" w:before="0" w:after="0"/>
              <w:ind w:left="0" w:right="0" w:hanging="0"/>
              <w:jc w:val="both"/>
              <w:rPr>
                <w:b w:val="false"/>
                <w:b w:val="false"/>
                <w:i w:val="false"/>
                <w:i w:val="false"/>
                <w:sz w:val="24"/>
                <w:szCs w:val="24"/>
                <w:u w:val="none"/>
                <w:shd w:fill="auto" w:val="clear"/>
                <w:lang w:val="uk-UA"/>
              </w:rPr>
            </w:pPr>
            <w:r>
              <w:rPr>
                <w:b w:val="false"/>
                <w:i w:val="false"/>
                <w:sz w:val="24"/>
                <w:szCs w:val="24"/>
                <w:u w:val="none"/>
                <w:shd w:fill="auto" w:val="clear"/>
                <w:lang w:val="uk-UA"/>
              </w:rPr>
              <w:t xml:space="preserve">Код ЄДРПОУ: 37441694 </w:t>
            </w:r>
          </w:p>
        </w:tc>
        <w:tc>
          <w:tcPr>
            <w:tcW w:w="4818" w:type="dxa"/>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c>
          <w:tcPr>
            <w:tcW w:w="4818" w:type="dxa"/>
            <w:tcBorders/>
          </w:tcPr>
          <w:p>
            <w:pPr>
              <w:pStyle w:val="LOnormal"/>
              <w:widowControl w:val="false"/>
              <w:spacing w:lineRule="auto" w:line="240" w:before="0" w:after="0"/>
              <w:ind w:left="0" w:right="0" w:hanging="0"/>
              <w:jc w:val="both"/>
              <w:rPr>
                <w:b w:val="false"/>
                <w:b w:val="false"/>
                <w:i w:val="false"/>
                <w:i w:val="false"/>
                <w:sz w:val="24"/>
                <w:szCs w:val="24"/>
                <w:u w:val="none"/>
                <w:shd w:fill="auto" w:val="clear"/>
                <w:lang w:val="uk-UA"/>
              </w:rPr>
            </w:pPr>
            <w:r>
              <w:rPr>
                <w:b w:val="false"/>
                <w:i w:val="false"/>
                <w:sz w:val="24"/>
                <w:szCs w:val="24"/>
                <w:u w:val="none"/>
                <w:shd w:fill="auto" w:val="clear"/>
                <w:lang w:val="uk-UA"/>
              </w:rPr>
              <w:t>Місцезнаходження: 03165, м. Київ, пр-т. Любомира Гузара, 7</w:t>
            </w:r>
          </w:p>
        </w:tc>
        <w:tc>
          <w:tcPr>
            <w:tcW w:w="4818" w:type="dxa"/>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c>
          <w:tcPr>
            <w:tcW w:w="4818" w:type="dxa"/>
            <w:tcBorders/>
          </w:tcPr>
          <w:p>
            <w:pPr>
              <w:pStyle w:val="LOnormal"/>
              <w:widowControl w:val="false"/>
              <w:spacing w:lineRule="auto" w:line="240" w:before="0" w:after="0"/>
              <w:ind w:left="0" w:right="0" w:hanging="0"/>
              <w:jc w:val="both"/>
              <w:rPr>
                <w:b w:val="false"/>
                <w:b w:val="false"/>
                <w:i w:val="false"/>
                <w:i w:val="false"/>
                <w:sz w:val="24"/>
                <w:szCs w:val="24"/>
                <w:u w:val="none"/>
                <w:shd w:fill="auto" w:val="clear"/>
                <w:lang w:val="uk-UA"/>
              </w:rPr>
            </w:pPr>
            <w:r>
              <w:rPr>
                <w:b w:val="false"/>
                <w:i w:val="false"/>
                <w:sz w:val="24"/>
                <w:szCs w:val="24"/>
                <w:u w:val="none"/>
                <w:shd w:fill="auto" w:val="clear"/>
                <w:lang w:val="uk-UA"/>
              </w:rPr>
              <w:t>Розрахунковий рахунок (IBAN):</w:t>
            </w:r>
          </w:p>
        </w:tc>
        <w:tc>
          <w:tcPr>
            <w:tcW w:w="4818" w:type="dxa"/>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c>
          <w:tcPr>
            <w:tcW w:w="4818" w:type="dxa"/>
            <w:tcBorders/>
          </w:tcPr>
          <w:p>
            <w:pPr>
              <w:pStyle w:val="LOnormal"/>
              <w:widowControl w:val="false"/>
              <w:spacing w:lineRule="auto" w:line="240" w:before="0" w:after="0"/>
              <w:ind w:left="0" w:right="0" w:hanging="0"/>
              <w:jc w:val="both"/>
              <w:rPr>
                <w:rFonts w:ascii="Times New Roman" w:hAnsi="Times New Roman" w:eastAsia="Times New Roman" w:cs="Times New Roman"/>
                <w:b w:val="false"/>
                <w:b w:val="false"/>
                <w:i w:val="false"/>
                <w:i w:val="false"/>
                <w:sz w:val="24"/>
                <w:szCs w:val="24"/>
                <w:u w:val="none"/>
                <w:shd w:fill="auto" w:val="clear"/>
                <w:lang w:val="uk-UA"/>
              </w:rPr>
            </w:pPr>
            <w:r>
              <w:rPr>
                <w:rFonts w:eastAsia="Times New Roman" w:cs="Times New Roman"/>
                <w:b w:val="false"/>
                <w:i w:val="false"/>
                <w:sz w:val="24"/>
                <w:szCs w:val="24"/>
                <w:u w:val="none"/>
                <w:shd w:fill="auto" w:val="clear"/>
                <w:lang w:val="uk-UA"/>
              </w:rPr>
            </w:r>
          </w:p>
        </w:tc>
        <w:tc>
          <w:tcPr>
            <w:tcW w:w="4818" w:type="dxa"/>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c>
          <w:tcPr>
            <w:tcW w:w="4818" w:type="dxa"/>
            <w:tcBorders/>
          </w:tcPr>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________________________</w:t>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(посада)</w:t>
            </w:r>
          </w:p>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________________________</w:t>
            </w:r>
          </w:p>
        </w:tc>
        <w:tc>
          <w:tcPr>
            <w:tcW w:w="4818" w:type="dxa"/>
            <w:tcBorders/>
          </w:tcPr>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tc>
      </w:tr>
      <w:tr>
        <w:trPr/>
        <w:tc>
          <w:tcPr>
            <w:tcW w:w="4818" w:type="dxa"/>
            <w:tcBorders/>
          </w:tcPr>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 xml:space="preserve">(П.І.Б.) </w:t>
            </w:r>
          </w:p>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 xml:space="preserve">________________________ </w:t>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(підпис)</w:t>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М.П.</w:t>
            </w:r>
          </w:p>
        </w:tc>
        <w:tc>
          <w:tcPr>
            <w:tcW w:w="4818" w:type="dxa"/>
            <w:tcBorders/>
          </w:tcPr>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tc>
      </w:tr>
    </w:tbl>
    <w:p>
      <w:pPr>
        <w:pStyle w:val="LOnormal"/>
        <w:jc w:val="center"/>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r>
        <w:br w:type="page"/>
      </w:r>
    </w:p>
    <w:p>
      <w:pPr>
        <w:pStyle w:val="LOnormal"/>
        <w:ind w:left="6381" w:hanging="0"/>
        <w:jc w:val="both"/>
        <w:rPr>
          <w:lang w:val="uk-UA"/>
        </w:rPr>
      </w:pPr>
      <w:r>
        <w:rPr>
          <w:sz w:val="24"/>
          <w:szCs w:val="24"/>
          <w:lang w:val="uk-UA"/>
        </w:rPr>
        <w:t xml:space="preserve">ДОДАТОК № 1 </w:t>
      </w:r>
    </w:p>
    <w:p>
      <w:pPr>
        <w:pStyle w:val="LOnormal"/>
        <w:ind w:left="6381" w:hanging="0"/>
        <w:jc w:val="both"/>
        <w:rPr>
          <w:lang w:val="uk-UA"/>
        </w:rPr>
      </w:pPr>
      <w:r>
        <w:rPr>
          <w:sz w:val="24"/>
          <w:szCs w:val="24"/>
          <w:lang w:val="uk-UA"/>
        </w:rPr>
        <w:t xml:space="preserve">до ДОГОВОРУ №___ </w:t>
      </w:r>
    </w:p>
    <w:p>
      <w:pPr>
        <w:pStyle w:val="LOnormal"/>
        <w:ind w:left="6381" w:hanging="0"/>
        <w:jc w:val="both"/>
        <w:rPr>
          <w:lang w:val="uk-UA"/>
        </w:rPr>
      </w:pPr>
      <w:r>
        <w:rPr>
          <w:sz w:val="24"/>
          <w:szCs w:val="24"/>
          <w:lang w:val="uk-UA"/>
        </w:rPr>
        <w:t xml:space="preserve">від «___» __________2021 року </w:t>
      </w:r>
    </w:p>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LOnormal"/>
        <w:jc w:val="center"/>
        <w:rPr>
          <w:lang w:val="uk-UA"/>
        </w:rPr>
      </w:pPr>
      <w:r>
        <w:rPr>
          <w:b/>
          <w:sz w:val="24"/>
          <w:szCs w:val="24"/>
          <w:lang w:val="uk-UA"/>
        </w:rPr>
        <w:t>СПЕЦИФІКАЦІЯ</w:t>
      </w:r>
    </w:p>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p>
    <w:tbl>
      <w:tblPr>
        <w:tblStyle w:val="Table3"/>
        <w:tblW w:w="9644" w:type="dxa"/>
        <w:jc w:val="left"/>
        <w:tblInd w:w="0" w:type="dxa"/>
        <w:tblLayout w:type="fixed"/>
        <w:tblCellMar>
          <w:top w:w="0" w:type="dxa"/>
          <w:left w:w="108" w:type="dxa"/>
          <w:bottom w:w="0" w:type="dxa"/>
          <w:right w:w="108" w:type="dxa"/>
        </w:tblCellMar>
        <w:tblLook w:val="0000"/>
      </w:tblPr>
      <w:tblGrid>
        <w:gridCol w:w="625"/>
        <w:gridCol w:w="5209"/>
        <w:gridCol w:w="691"/>
        <w:gridCol w:w="735"/>
        <w:gridCol w:w="1188"/>
        <w:gridCol w:w="1195"/>
      </w:tblGrid>
      <w:tr>
        <w:trPr/>
        <w:tc>
          <w:tcPr>
            <w:tcW w:w="625" w:type="dxa"/>
            <w:tcBorders>
              <w:top w:val="single" w:sz="4" w:space="0" w:color="000000"/>
              <w:left w:val="single" w:sz="4" w:space="0" w:color="000000"/>
              <w:bottom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п/п</w:t>
            </w:r>
          </w:p>
        </w:tc>
        <w:tc>
          <w:tcPr>
            <w:tcW w:w="5209" w:type="dxa"/>
            <w:tcBorders>
              <w:top w:val="single" w:sz="4" w:space="0" w:color="000000"/>
              <w:left w:val="single" w:sz="4" w:space="0" w:color="000000"/>
              <w:bottom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Найменування</w:t>
            </w:r>
          </w:p>
        </w:tc>
        <w:tc>
          <w:tcPr>
            <w:tcW w:w="691" w:type="dxa"/>
            <w:tcBorders>
              <w:top w:val="single" w:sz="4" w:space="0" w:color="000000"/>
              <w:left w:val="single" w:sz="4" w:space="0" w:color="000000"/>
              <w:bottom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Од. вим.</w:t>
            </w:r>
          </w:p>
        </w:tc>
        <w:tc>
          <w:tcPr>
            <w:tcW w:w="735" w:type="dxa"/>
            <w:tcBorders>
              <w:top w:val="single" w:sz="4" w:space="0" w:color="000000"/>
              <w:left w:val="single" w:sz="4" w:space="0" w:color="000000"/>
              <w:bottom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К-ть</w:t>
            </w:r>
          </w:p>
        </w:tc>
        <w:tc>
          <w:tcPr>
            <w:tcW w:w="1188" w:type="dxa"/>
            <w:tcBorders>
              <w:top w:val="single" w:sz="4" w:space="0" w:color="000000"/>
              <w:left w:val="single" w:sz="4" w:space="0" w:color="000000"/>
              <w:bottom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xml:space="preserve">Ціна </w:t>
            </w:r>
            <w:r>
              <w:rPr>
                <w:rFonts w:eastAsia="Times New Roman" w:cs="Times New Roman"/>
                <w:b w:val="false"/>
                <w:bCs/>
                <w:i w:val="false"/>
                <w:caps w:val="false"/>
                <w:smallCaps w:val="false"/>
                <w:strike w:val="false"/>
                <w:dstrike w:val="false"/>
                <w:color w:val="000000"/>
                <w:position w:val="0"/>
                <w:sz w:val="24"/>
                <w:sz w:val="24"/>
                <w:szCs w:val="24"/>
                <w:u w:val="none"/>
                <w:shd w:fill="auto" w:val="clear"/>
                <w:vertAlign w:val="baseline"/>
                <w:lang w:val="uk-UA"/>
              </w:rPr>
              <w:t>(без ПДВ)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грн</w:t>
            </w:r>
          </w:p>
        </w:tc>
        <w:tc>
          <w:tcPr>
            <w:tcW w:w="119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xml:space="preserve">Сума </w:t>
            </w:r>
            <w:r>
              <w:rPr>
                <w:rFonts w:eastAsia="Times New Roman" w:cs="Times New Roman"/>
                <w:b w:val="false"/>
                <w:bCs/>
                <w:i w:val="false"/>
                <w:caps w:val="false"/>
                <w:smallCaps w:val="false"/>
                <w:strike w:val="false"/>
                <w:dstrike w:val="false"/>
                <w:color w:val="000000"/>
                <w:position w:val="0"/>
                <w:sz w:val="24"/>
                <w:sz w:val="24"/>
                <w:szCs w:val="24"/>
                <w:u w:val="none"/>
                <w:shd w:fill="auto" w:val="clear"/>
                <w:vertAlign w:val="baseline"/>
                <w:lang w:val="uk-UA"/>
              </w:rPr>
              <w:t>(без ПДВ)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грн</w:t>
            </w:r>
          </w:p>
        </w:tc>
      </w:tr>
      <w:tr>
        <w:trPr/>
        <w:tc>
          <w:tcPr>
            <w:tcW w:w="625" w:type="dxa"/>
            <w:tcBorders>
              <w:left w:val="single" w:sz="4" w:space="0" w:color="000000"/>
              <w:bottom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1</w:t>
            </w:r>
          </w:p>
        </w:tc>
        <w:tc>
          <w:tcPr>
            <w:tcW w:w="5209" w:type="dxa"/>
            <w:tcBorders>
              <w:left w:val="single" w:sz="4" w:space="0" w:color="000000"/>
              <w:bottom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автомобіль марки Daewoo Nubira 1.6 (об’єм двигуна 1598 см3), тип ТЗ легковий седан - В, синього кольору, 1998 року випуску, заводський номер KLAJF696EWK209899, реєстраційний державний № 35960КА, з комплектом літніх шин, установлених на автомобіль, та додатковим комплектом зимових шин та дисків у кількості 4 штуки.</w:t>
            </w:r>
          </w:p>
        </w:tc>
        <w:tc>
          <w:tcPr>
            <w:tcW w:w="691" w:type="dxa"/>
            <w:tcBorders>
              <w:left w:val="single" w:sz="4" w:space="0" w:color="000000"/>
              <w:bottom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шт.</w:t>
            </w:r>
          </w:p>
        </w:tc>
        <w:tc>
          <w:tcPr>
            <w:tcW w:w="735" w:type="dxa"/>
            <w:tcBorders>
              <w:left w:val="single" w:sz="4" w:space="0" w:color="000000"/>
              <w:bottom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1</w:t>
            </w:r>
          </w:p>
        </w:tc>
        <w:tc>
          <w:tcPr>
            <w:tcW w:w="1188" w:type="dxa"/>
            <w:tcBorders>
              <w:left w:val="single" w:sz="4" w:space="0" w:color="000000"/>
              <w:bottom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r>
          </w:p>
        </w:tc>
        <w:tc>
          <w:tcPr>
            <w:tcW w:w="1195"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c>
          <w:tcPr>
            <w:tcW w:w="8448" w:type="dxa"/>
            <w:gridSpan w:val="5"/>
            <w:tcBorders>
              <w:left w:val="single" w:sz="4" w:space="0" w:color="000000"/>
              <w:bottom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xml:space="preserve">Всього </w:t>
            </w:r>
            <w:r>
              <w:rPr>
                <w:rFonts w:eastAsia="Times New Roman" w:cs="Times New Roman"/>
                <w:b w:val="false"/>
                <w:bCs/>
                <w:i w:val="false"/>
                <w:caps w:val="false"/>
                <w:smallCaps w:val="false"/>
                <w:strike w:val="false"/>
                <w:dstrike w:val="false"/>
                <w:color w:val="000000"/>
                <w:position w:val="0"/>
                <w:sz w:val="24"/>
                <w:sz w:val="24"/>
                <w:szCs w:val="24"/>
                <w:u w:val="none"/>
                <w:shd w:fill="auto" w:val="clear"/>
                <w:vertAlign w:val="baseline"/>
                <w:lang w:val="uk-UA"/>
              </w:rPr>
              <w:t>(без ПДВ), грн</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w:t>
            </w:r>
          </w:p>
        </w:tc>
        <w:tc>
          <w:tcPr>
            <w:tcW w:w="1195"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bl>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p>
    <w:tbl>
      <w:tblPr>
        <w:tblStyle w:val="Table4"/>
        <w:tblW w:w="9637" w:type="dxa"/>
        <w:jc w:val="left"/>
        <w:tblInd w:w="0" w:type="dxa"/>
        <w:tblLayout w:type="fixed"/>
        <w:tblCellMar>
          <w:top w:w="0" w:type="dxa"/>
          <w:left w:w="108" w:type="dxa"/>
          <w:bottom w:w="0" w:type="dxa"/>
          <w:right w:w="108" w:type="dxa"/>
        </w:tblCellMar>
        <w:tblLook w:val="0000"/>
      </w:tblPr>
      <w:tblGrid>
        <w:gridCol w:w="4818"/>
        <w:gridCol w:w="4818"/>
      </w:tblGrid>
      <w:tr>
        <w:trPr/>
        <w:tc>
          <w:tcPr>
            <w:tcW w:w="4818" w:type="dxa"/>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lang w:val="uk-UA"/>
              </w:rPr>
              <w:t>ПРОДАВЕЦЬ</w:t>
            </w:r>
          </w:p>
        </w:tc>
        <w:tc>
          <w:tcPr>
            <w:tcW w:w="4818" w:type="dxa"/>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lang w:val="uk-UA"/>
              </w:rPr>
              <w:t>ПОКУПЕЦЬ</w:t>
            </w:r>
          </w:p>
        </w:tc>
      </w:tr>
      <w:tr>
        <w:trPr/>
        <w:tc>
          <w:tcPr>
            <w:tcW w:w="4818" w:type="dxa"/>
            <w:tcBorders/>
          </w:tcPr>
          <w:p>
            <w:pPr>
              <w:pStyle w:val="LOnormal"/>
              <w:widowControl w:val="false"/>
              <w:spacing w:lineRule="auto" w:line="240" w:before="0" w:after="0"/>
              <w:ind w:left="0" w:right="0" w:hanging="0"/>
              <w:jc w:val="both"/>
              <w:rPr>
                <w:lang w:val="uk-UA"/>
              </w:rPr>
            </w:pPr>
            <w:r>
              <w:rPr>
                <w:b w:val="false"/>
                <w:i w:val="false"/>
                <w:color w:val="000000"/>
                <w:sz w:val="24"/>
                <w:szCs w:val="24"/>
                <w:u w:val="none"/>
                <w:shd w:fill="auto" w:val="clear"/>
                <w:lang w:val="uk-UA"/>
              </w:rPr>
              <w:t xml:space="preserve">Найменування: </w:t>
            </w:r>
            <w:r>
              <w:rPr>
                <w:b w:val="false"/>
                <w:i w:val="false"/>
                <w:sz w:val="24"/>
                <w:szCs w:val="24"/>
                <w:u w:val="none"/>
                <w:shd w:fill="auto" w:val="clear"/>
                <w:lang w:val="uk-UA"/>
              </w:rPr>
              <w:t>Департамент соціальної політики виконавчого органу Київської міської ради (Київської міської державної адміністрації)</w:t>
            </w:r>
          </w:p>
        </w:tc>
        <w:tc>
          <w:tcPr>
            <w:tcW w:w="4818" w:type="dxa"/>
            <w:tcBorders/>
          </w:tcPr>
          <w:p>
            <w:pPr>
              <w:pStyle w:val="LOnormal"/>
              <w:widowControl w:val="false"/>
              <w:jc w:val="both"/>
              <w:rPr>
                <w:sz w:val="24"/>
                <w:szCs w:val="24"/>
                <w:lang w:val="uk-UA"/>
              </w:rPr>
            </w:pPr>
            <w:r>
              <w:rPr>
                <w:color w:val="000000"/>
                <w:sz w:val="24"/>
                <w:szCs w:val="24"/>
                <w:lang w:val="uk-UA"/>
              </w:rPr>
              <w:t>Найменування:</w:t>
            </w:r>
          </w:p>
        </w:tc>
      </w:tr>
      <w:tr>
        <w:trPr/>
        <w:tc>
          <w:tcPr>
            <w:tcW w:w="4818" w:type="dxa"/>
            <w:tcBorders/>
          </w:tcPr>
          <w:p>
            <w:pPr>
              <w:pStyle w:val="LOnormal"/>
              <w:widowControl w:val="false"/>
              <w:spacing w:lineRule="auto" w:line="240" w:before="0" w:after="0"/>
              <w:ind w:left="0" w:right="0" w:hanging="0"/>
              <w:jc w:val="both"/>
              <w:rPr>
                <w:lang w:val="uk-UA"/>
              </w:rPr>
            </w:pPr>
            <w:r>
              <w:rPr>
                <w:lang w:val="uk-UA"/>
              </w:rPr>
            </w:r>
          </w:p>
        </w:tc>
        <w:tc>
          <w:tcPr>
            <w:tcW w:w="4818" w:type="dxa"/>
            <w:tcBorders/>
          </w:tcPr>
          <w:p>
            <w:pPr>
              <w:pStyle w:val="LOnormal"/>
              <w:widowControl w:val="false"/>
              <w:jc w:val="both"/>
              <w:rPr>
                <w:rFonts w:ascii="Times New Roman" w:hAnsi="Times New Roman" w:eastAsia="Times New Roman" w:cs="Times New Roman"/>
                <w:sz w:val="24"/>
                <w:szCs w:val="24"/>
                <w:lang w:val="uk-UA"/>
              </w:rPr>
            </w:pPr>
            <w:r>
              <w:rPr>
                <w:rFonts w:eastAsia="Times New Roman" w:cs="Times New Roman"/>
                <w:sz w:val="24"/>
                <w:szCs w:val="24"/>
                <w:lang w:val="uk-UA"/>
              </w:rPr>
            </w:r>
          </w:p>
        </w:tc>
      </w:tr>
      <w:tr>
        <w:trPr/>
        <w:tc>
          <w:tcPr>
            <w:tcW w:w="4818" w:type="dxa"/>
            <w:tcBorders/>
          </w:tcPr>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________________________</w:t>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(посада)</w:t>
            </w:r>
          </w:p>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________________________</w:t>
            </w:r>
          </w:p>
        </w:tc>
        <w:tc>
          <w:tcPr>
            <w:tcW w:w="4818" w:type="dxa"/>
            <w:tcBorders/>
          </w:tcPr>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tc>
      </w:tr>
      <w:tr>
        <w:trPr/>
        <w:tc>
          <w:tcPr>
            <w:tcW w:w="4818" w:type="dxa"/>
            <w:tcBorders/>
          </w:tcPr>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 xml:space="preserve">(П.І.Б.) </w:t>
            </w:r>
          </w:p>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 xml:space="preserve">________________________ </w:t>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(підпис)</w:t>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М.П.</w:t>
            </w:r>
          </w:p>
        </w:tc>
        <w:tc>
          <w:tcPr>
            <w:tcW w:w="4818" w:type="dxa"/>
            <w:tcBorders/>
          </w:tcPr>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tc>
      </w:tr>
    </w:tbl>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r>
        <w:br w:type="page"/>
      </w:r>
    </w:p>
    <w:p>
      <w:pPr>
        <w:pStyle w:val="LOnormal"/>
        <w:ind w:left="6381" w:hanging="0"/>
        <w:jc w:val="both"/>
        <w:rPr>
          <w:lang w:val="uk-UA"/>
        </w:rPr>
      </w:pPr>
      <w:r>
        <w:rPr>
          <w:sz w:val="24"/>
          <w:szCs w:val="24"/>
          <w:lang w:val="uk-UA"/>
        </w:rPr>
        <w:t xml:space="preserve">ДОДАТОК № 2 </w:t>
      </w:r>
    </w:p>
    <w:p>
      <w:pPr>
        <w:pStyle w:val="LOnormal"/>
        <w:ind w:left="6381" w:hanging="0"/>
        <w:jc w:val="both"/>
        <w:rPr>
          <w:lang w:val="uk-UA"/>
        </w:rPr>
      </w:pPr>
      <w:r>
        <w:rPr>
          <w:sz w:val="24"/>
          <w:szCs w:val="24"/>
          <w:lang w:val="uk-UA"/>
        </w:rPr>
        <w:t xml:space="preserve">до ДОГОВОРУ №___ </w:t>
      </w:r>
    </w:p>
    <w:p>
      <w:pPr>
        <w:pStyle w:val="LOnormal"/>
        <w:ind w:left="6381" w:hanging="0"/>
        <w:jc w:val="both"/>
        <w:rPr>
          <w:lang w:val="uk-UA"/>
        </w:rPr>
      </w:pPr>
      <w:r>
        <w:rPr>
          <w:sz w:val="24"/>
          <w:szCs w:val="24"/>
          <w:lang w:val="uk-UA"/>
        </w:rPr>
        <w:t xml:space="preserve">від «___» __________2021 року </w:t>
      </w:r>
    </w:p>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LOnormal"/>
        <w:jc w:val="center"/>
        <w:rPr>
          <w:lang w:val="uk-UA"/>
        </w:rPr>
      </w:pPr>
      <w:r>
        <w:rPr>
          <w:b/>
          <w:sz w:val="24"/>
          <w:szCs w:val="24"/>
          <w:lang w:val="uk-UA"/>
        </w:rPr>
        <w:t xml:space="preserve">Акт прийому-передачі транспортного засобу </w:t>
      </w:r>
    </w:p>
    <w:p>
      <w:pPr>
        <w:pStyle w:val="LOnormal"/>
        <w:jc w:val="both"/>
        <w:rPr>
          <w:lang w:val="uk-UA"/>
        </w:rPr>
      </w:pPr>
      <w:r>
        <w:rPr>
          <w:sz w:val="24"/>
          <w:szCs w:val="24"/>
          <w:lang w:val="uk-UA"/>
        </w:rPr>
        <w:t xml:space="preserve"> </w:t>
      </w:r>
    </w:p>
    <w:p>
      <w:pPr>
        <w:pStyle w:val="LOnormal"/>
        <w:jc w:val="both"/>
        <w:rPr>
          <w:lang w:val="uk-UA"/>
        </w:rPr>
      </w:pPr>
      <w:r>
        <w:rPr>
          <w:sz w:val="24"/>
          <w:szCs w:val="24"/>
          <w:shd w:fill="auto" w:val="clear"/>
          <w:lang w:val="uk-UA"/>
        </w:rPr>
        <w:t xml:space="preserve">Департамент соціальної політики виконавчого органу Київської міської ради (Київської міської державної адміністрації), в особі _____________________, що діє на підставі Положення (надалі іменований – «Продавець»), з однієї сторони, та </w:t>
      </w:r>
    </w:p>
    <w:p>
      <w:pPr>
        <w:pStyle w:val="LOnormal"/>
        <w:jc w:val="both"/>
        <w:rPr>
          <w:lang w:val="uk-UA"/>
        </w:rPr>
      </w:pPr>
      <w:r>
        <w:rPr>
          <w:sz w:val="24"/>
          <w:szCs w:val="24"/>
          <w:shd w:fill="auto" w:val="clear"/>
          <w:lang w:val="uk-UA"/>
        </w:rPr>
        <w:t xml:space="preserve">__________________________________________________, (надалі іменований – «Покупець»), в особі _______________________, що діє на підставі ______________, з іншої сторони, надалі </w:t>
      </w:r>
    </w:p>
    <w:p>
      <w:pPr>
        <w:pStyle w:val="LOnormal"/>
        <w:jc w:val="both"/>
        <w:rPr>
          <w:lang w:val="uk-UA"/>
        </w:rPr>
      </w:pPr>
      <w:r>
        <w:rPr>
          <w:sz w:val="24"/>
          <w:szCs w:val="24"/>
          <w:shd w:fill="auto" w:val="clear"/>
          <w:lang w:val="uk-UA"/>
        </w:rPr>
        <w:t xml:space="preserve">разом іменовані "Сторони", а окремо "Сторона",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Договору купівлі-продажу транспортного засобу  від ___.___.2021 року № ____, (далі – Договір) уклали цей Акт прийому-передачі транспортного засобу про наступне: </w:t>
      </w:r>
    </w:p>
    <w:p>
      <w:pPr>
        <w:pStyle w:val="LOnormal"/>
        <w:jc w:val="both"/>
        <w:rPr>
          <w:rFonts w:ascii="Times New Roman" w:hAnsi="Times New Roman" w:eastAsia="Times New Roman" w:cs="Times New Roman"/>
          <w:sz w:val="24"/>
          <w:szCs w:val="24"/>
          <w:shd w:fill="auto" w:val="clear"/>
          <w:lang w:val="uk-UA"/>
        </w:rPr>
      </w:pPr>
      <w:r>
        <w:rPr>
          <w:rFonts w:eastAsia="Times New Roman" w:cs="Times New Roman"/>
          <w:sz w:val="24"/>
          <w:szCs w:val="24"/>
          <w:shd w:fill="auto" w:val="clear"/>
          <w:lang w:val="uk-UA"/>
        </w:rPr>
      </w:r>
    </w:p>
    <w:p>
      <w:pPr>
        <w:pStyle w:val="LOnormal"/>
        <w:jc w:val="both"/>
        <w:rPr>
          <w:lang w:val="uk-UA"/>
        </w:rPr>
      </w:pPr>
      <w:r>
        <w:rPr>
          <w:sz w:val="24"/>
          <w:szCs w:val="24"/>
          <w:shd w:fill="auto" w:val="clear"/>
          <w:lang w:val="uk-UA"/>
        </w:rPr>
        <w:t xml:space="preserve">Продавець передав, а Покупець прийняв автомобіль марки Daewoo Nubira 1.6 (об’єм двигуна 1598 см3), тип ТЗ легковий седан - В, синього кольору, 1998 року випуску, заводський номер KLAJF696EWK209899, реєстраційний державний № 35960КА (надалі іменований – «Транспортний засіб»), у технічному стані, що відповідає заявленому в акті технічного стану автомобіля, у комплектації, що передбачена Договором. </w:t>
      </w:r>
    </w:p>
    <w:p>
      <w:pPr>
        <w:pStyle w:val="LOnormal"/>
        <w:jc w:val="both"/>
        <w:rPr>
          <w:highlight w:val="none"/>
          <w:shd w:fill="auto" w:val="clear"/>
          <w:lang w:val="uk-UA"/>
        </w:rPr>
      </w:pPr>
      <w:r>
        <w:rPr>
          <w:sz w:val="24"/>
          <w:szCs w:val="24"/>
          <w:shd w:fill="auto" w:val="clear"/>
          <w:lang w:val="uk-UA"/>
        </w:rPr>
        <w:t xml:space="preserve">Покупець підтверджує, що в момент передання Транспортного засобу він отримав свідоцтво про реєстрацію транспортного засобу (технічний паспорт) від Продавця, </w:t>
      </w:r>
      <w:r>
        <w:rPr>
          <w:color w:val="000000"/>
          <w:sz w:val="24"/>
          <w:szCs w:val="24"/>
          <w:shd w:fill="auto" w:val="clear"/>
          <w:lang w:val="uk-UA"/>
        </w:rPr>
        <w:t>ключі від Транспортного засобу</w:t>
      </w:r>
      <w:r>
        <w:rPr>
          <w:sz w:val="24"/>
          <w:szCs w:val="24"/>
          <w:shd w:fill="auto" w:val="clear"/>
          <w:lang w:val="uk-UA"/>
        </w:rPr>
        <w:t xml:space="preserve">. </w:t>
      </w:r>
    </w:p>
    <w:p>
      <w:pPr>
        <w:pStyle w:val="LOnormal"/>
        <w:jc w:val="both"/>
        <w:rPr>
          <w:rFonts w:ascii="Times New Roman" w:hAnsi="Times New Roman" w:eastAsia="Times New Roman" w:cs="Times New Roman"/>
          <w:sz w:val="24"/>
          <w:szCs w:val="24"/>
          <w:highlight w:val="none"/>
          <w:shd w:fill="auto" w:val="clear"/>
          <w:lang w:val="uk-UA"/>
        </w:rPr>
      </w:pPr>
      <w:r>
        <w:rPr>
          <w:rFonts w:eastAsia="Times New Roman" w:cs="Times New Roman"/>
          <w:sz w:val="24"/>
          <w:szCs w:val="24"/>
          <w:shd w:fill="auto" w:val="clear"/>
          <w:lang w:val="uk-UA"/>
        </w:rPr>
      </w:r>
    </w:p>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p>
    <w:tbl>
      <w:tblPr>
        <w:tblStyle w:val="Table5"/>
        <w:tblW w:w="9637" w:type="dxa"/>
        <w:jc w:val="left"/>
        <w:tblInd w:w="0" w:type="dxa"/>
        <w:tblLayout w:type="fixed"/>
        <w:tblCellMar>
          <w:top w:w="0" w:type="dxa"/>
          <w:left w:w="108" w:type="dxa"/>
          <w:bottom w:w="0" w:type="dxa"/>
          <w:right w:w="108" w:type="dxa"/>
        </w:tblCellMar>
        <w:tblLook w:val="0000"/>
      </w:tblPr>
      <w:tblGrid>
        <w:gridCol w:w="4818"/>
        <w:gridCol w:w="4818"/>
      </w:tblGrid>
      <w:tr>
        <w:trPr/>
        <w:tc>
          <w:tcPr>
            <w:tcW w:w="4818" w:type="dxa"/>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lang w:val="uk-UA"/>
              </w:rPr>
              <w:t>ПРОДАВЕЦЬ</w:t>
            </w:r>
          </w:p>
        </w:tc>
        <w:tc>
          <w:tcPr>
            <w:tcW w:w="4818" w:type="dxa"/>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lang w:val="uk-UA"/>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lang w:val="uk-UA"/>
              </w:rPr>
              <w:t>ПОКУПЕЦЬ</w:t>
            </w:r>
          </w:p>
        </w:tc>
      </w:tr>
      <w:tr>
        <w:trPr/>
        <w:tc>
          <w:tcPr>
            <w:tcW w:w="4818" w:type="dxa"/>
            <w:tcBorders/>
          </w:tcPr>
          <w:p>
            <w:pPr>
              <w:pStyle w:val="LOnormal"/>
              <w:widowControl w:val="false"/>
              <w:spacing w:lineRule="auto" w:line="240" w:before="0" w:after="0"/>
              <w:ind w:left="0" w:right="0" w:hanging="0"/>
              <w:jc w:val="both"/>
              <w:rPr>
                <w:lang w:val="uk-UA"/>
              </w:rPr>
            </w:pPr>
            <w:r>
              <w:rPr>
                <w:b w:val="false"/>
                <w:i w:val="false"/>
                <w:color w:val="000000"/>
                <w:sz w:val="24"/>
                <w:szCs w:val="24"/>
                <w:u w:val="none"/>
                <w:shd w:fill="auto" w:val="clear"/>
                <w:lang w:val="uk-UA"/>
              </w:rPr>
              <w:t xml:space="preserve">Найменування: </w:t>
            </w:r>
            <w:r>
              <w:rPr>
                <w:b w:val="false"/>
                <w:i w:val="false"/>
                <w:sz w:val="24"/>
                <w:szCs w:val="24"/>
                <w:u w:val="none"/>
                <w:shd w:fill="auto" w:val="clear"/>
                <w:lang w:val="uk-UA"/>
              </w:rPr>
              <w:t>Департамент соціальної політики виконавчого органу Київської міської ради (Київської міської державної адміністрації)</w:t>
            </w:r>
          </w:p>
        </w:tc>
        <w:tc>
          <w:tcPr>
            <w:tcW w:w="4818" w:type="dxa"/>
            <w:tcBorders/>
          </w:tcPr>
          <w:p>
            <w:pPr>
              <w:pStyle w:val="LOnormal"/>
              <w:widowControl w:val="false"/>
              <w:jc w:val="both"/>
              <w:rPr>
                <w:sz w:val="24"/>
                <w:szCs w:val="24"/>
                <w:lang w:val="uk-UA"/>
              </w:rPr>
            </w:pPr>
            <w:r>
              <w:rPr>
                <w:color w:val="000000"/>
                <w:sz w:val="24"/>
                <w:szCs w:val="24"/>
                <w:lang w:val="uk-UA"/>
              </w:rPr>
              <w:t>Найменування:</w:t>
            </w:r>
          </w:p>
        </w:tc>
      </w:tr>
      <w:tr>
        <w:trPr/>
        <w:tc>
          <w:tcPr>
            <w:tcW w:w="4818" w:type="dxa"/>
            <w:tcBorders/>
          </w:tcPr>
          <w:p>
            <w:pPr>
              <w:pStyle w:val="LOnormal"/>
              <w:widowControl w:val="false"/>
              <w:spacing w:lineRule="auto" w:line="240" w:before="0" w:after="0"/>
              <w:ind w:left="0" w:right="0" w:hanging="0"/>
              <w:jc w:val="both"/>
              <w:rPr>
                <w:lang w:val="uk-UA"/>
              </w:rPr>
            </w:pPr>
            <w:r>
              <w:rPr>
                <w:lang w:val="uk-UA"/>
              </w:rPr>
            </w:r>
          </w:p>
        </w:tc>
        <w:tc>
          <w:tcPr>
            <w:tcW w:w="4818" w:type="dxa"/>
            <w:tcBorders/>
          </w:tcPr>
          <w:p>
            <w:pPr>
              <w:pStyle w:val="LOnormal"/>
              <w:widowControl w:val="false"/>
              <w:jc w:val="both"/>
              <w:rPr>
                <w:rFonts w:ascii="Times New Roman" w:hAnsi="Times New Roman" w:eastAsia="Times New Roman" w:cs="Times New Roman"/>
                <w:sz w:val="24"/>
                <w:szCs w:val="24"/>
                <w:lang w:val="uk-UA"/>
              </w:rPr>
            </w:pPr>
            <w:r>
              <w:rPr>
                <w:rFonts w:eastAsia="Times New Roman" w:cs="Times New Roman"/>
                <w:sz w:val="24"/>
                <w:szCs w:val="24"/>
                <w:lang w:val="uk-UA"/>
              </w:rPr>
            </w:r>
          </w:p>
        </w:tc>
      </w:tr>
      <w:tr>
        <w:trPr/>
        <w:tc>
          <w:tcPr>
            <w:tcW w:w="4818" w:type="dxa"/>
            <w:tcBorders/>
          </w:tcPr>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________________________</w:t>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(посада)</w:t>
            </w:r>
          </w:p>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________________________</w:t>
            </w:r>
          </w:p>
        </w:tc>
        <w:tc>
          <w:tcPr>
            <w:tcW w:w="4818" w:type="dxa"/>
            <w:tcBorders/>
          </w:tcPr>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tc>
      </w:tr>
      <w:tr>
        <w:trPr/>
        <w:tc>
          <w:tcPr>
            <w:tcW w:w="4818" w:type="dxa"/>
            <w:tcBorders/>
          </w:tcPr>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 xml:space="preserve">(П.І.Б.) </w:t>
            </w:r>
          </w:p>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 xml:space="preserve">________________________ </w:t>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(підпис)</w:t>
            </w:r>
          </w:p>
          <w:p>
            <w:pPr>
              <w:pStyle w:val="LOnormal"/>
              <w:widowControl w:val="false"/>
              <w:spacing w:lineRule="auto" w:line="240" w:before="0" w:after="0"/>
              <w:ind w:left="0" w:right="0" w:hanging="0"/>
              <w:jc w:val="left"/>
              <w:rPr>
                <w:b w:val="false"/>
                <w:b w:val="false"/>
                <w:i w:val="false"/>
                <w:i w:val="false"/>
                <w:color w:val="000000"/>
                <w:sz w:val="24"/>
                <w:szCs w:val="24"/>
                <w:u w:val="none"/>
                <w:shd w:fill="auto" w:val="clear"/>
                <w:lang w:val="uk-UA"/>
              </w:rPr>
            </w:pPr>
            <w:r>
              <w:rPr>
                <w:b w:val="false"/>
                <w:i w:val="false"/>
                <w:color w:val="000000"/>
                <w:sz w:val="24"/>
                <w:szCs w:val="24"/>
                <w:u w:val="none"/>
                <w:shd w:fill="auto" w:val="clear"/>
                <w:lang w:val="uk-UA"/>
              </w:rPr>
              <w:t>М.П.</w:t>
            </w:r>
          </w:p>
        </w:tc>
        <w:tc>
          <w:tcPr>
            <w:tcW w:w="4818" w:type="dxa"/>
            <w:tcBorders/>
          </w:tcPr>
          <w:p>
            <w:pPr>
              <w:pStyle w:val="LOnormal"/>
              <w:widowControl w:val="false"/>
              <w:spacing w:lineRule="auto" w:line="240" w:before="0" w:after="0"/>
              <w:ind w:left="0" w:right="0" w:hanging="0"/>
              <w:jc w:val="left"/>
              <w:rPr>
                <w:rFonts w:ascii="Times New Roman" w:hAnsi="Times New Roman" w:eastAsia="Times New Roman" w:cs="Times New Roman"/>
                <w:b w:val="false"/>
                <w:b w:val="false"/>
                <w:i w:val="false"/>
                <w:i w:val="false"/>
                <w:color w:val="000000"/>
                <w:sz w:val="24"/>
                <w:szCs w:val="24"/>
                <w:u w:val="none"/>
                <w:shd w:fill="auto" w:val="clear"/>
                <w:lang w:val="uk-UA"/>
              </w:rPr>
            </w:pPr>
            <w:r>
              <w:rPr>
                <w:rFonts w:eastAsia="Times New Roman" w:cs="Times New Roman"/>
                <w:b w:val="false"/>
                <w:i w:val="false"/>
                <w:color w:val="000000"/>
                <w:sz w:val="24"/>
                <w:szCs w:val="24"/>
                <w:u w:val="none"/>
                <w:shd w:fill="auto" w:val="clear"/>
                <w:lang w:val="uk-UA"/>
              </w:rPr>
            </w:r>
          </w:p>
        </w:tc>
      </w:tr>
    </w:tbl>
    <w:p>
      <w:pPr>
        <w:pStyle w:val="LOnormal"/>
        <w:jc w:val="both"/>
        <w:rPr>
          <w:rFonts w:ascii="Times New Roman" w:hAnsi="Times New Roman" w:eastAsia="Times New Roman" w:cs="Times New Roman"/>
          <w:sz w:val="24"/>
          <w:szCs w:val="24"/>
          <w:lang w:val="uk-UA"/>
        </w:rPr>
      </w:pPr>
      <w:r>
        <w:rPr>
          <w:rFonts w:eastAsia="Times New Roman" w:cs="Times New Roman"/>
          <w:sz w:val="24"/>
          <w:szCs w:val="24"/>
          <w:lang w:val="uk-UA"/>
        </w:rPr>
      </w:r>
    </w:p>
    <w:p>
      <w:pPr>
        <w:pStyle w:val="LOnormal"/>
        <w:jc w:val="both"/>
        <w:rPr>
          <w:lang w:val="uk-UA"/>
        </w:rPr>
      </w:pPr>
      <w:r>
        <w:rPr/>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sz w:val="28"/>
        <w:szCs w:val="28"/>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ahoma" w:cs="Arial"/>
      <w:color w:val="auto"/>
      <w:kern w:val="2"/>
      <w:sz w:val="28"/>
      <w:szCs w:val="24"/>
      <w:lang w:val="uk-UA" w:eastAsia="zh-CN" w:bidi="hi-IN"/>
    </w:rPr>
  </w:style>
  <w:style w:type="paragraph" w:styleId="1">
    <w:name w:val="Heading 1"/>
    <w:basedOn w:val="LOnormal"/>
    <w:next w:val="LOnormal"/>
    <w:qFormat/>
    <w:pPr>
      <w:keepNext w:val="true"/>
      <w:keepLines/>
      <w:pageBreakBefore w:val="false"/>
      <w:spacing w:lineRule="auto" w:line="240" w:before="480" w:after="120"/>
    </w:pPr>
    <w:rPr>
      <w:b/>
      <w:sz w:val="48"/>
      <w:szCs w:val="48"/>
    </w:rPr>
  </w:style>
  <w:style w:type="paragraph" w:styleId="2">
    <w:name w:val="Heading 2"/>
    <w:basedOn w:val="LOnormal"/>
    <w:next w:val="LOnormal"/>
    <w:qFormat/>
    <w:pPr>
      <w:keepNext w:val="true"/>
      <w:keepLines/>
      <w:pageBreakBefore w:val="false"/>
      <w:spacing w:lineRule="auto" w:line="240" w:before="360" w:after="80"/>
    </w:pPr>
    <w:rPr>
      <w:b/>
      <w:sz w:val="36"/>
      <w:szCs w:val="36"/>
    </w:rPr>
  </w:style>
  <w:style w:type="paragraph" w:styleId="3">
    <w:name w:val="Heading 3"/>
    <w:basedOn w:val="LOnormal"/>
    <w:next w:val="LOnormal"/>
    <w:qFormat/>
    <w:pPr>
      <w:keepNext w:val="true"/>
      <w:keepLines/>
      <w:pageBreakBefore w:val="false"/>
      <w:spacing w:lineRule="auto" w:line="240" w:before="280" w:after="80"/>
    </w:pPr>
    <w:rPr>
      <w:b/>
      <w:sz w:val="28"/>
      <w:szCs w:val="28"/>
    </w:rPr>
  </w:style>
  <w:style w:type="paragraph" w:styleId="4">
    <w:name w:val="Heading 4"/>
    <w:basedOn w:val="LOnormal"/>
    <w:next w:val="LOnormal"/>
    <w:qFormat/>
    <w:pPr>
      <w:keepNext w:val="true"/>
      <w:keepLines/>
      <w:pageBreakBefore w:val="false"/>
      <w:spacing w:lineRule="auto" w:line="240" w:before="240" w:after="40"/>
    </w:pPr>
    <w:rPr>
      <w:b/>
      <w:sz w:val="24"/>
      <w:szCs w:val="24"/>
    </w:rPr>
  </w:style>
  <w:style w:type="paragraph" w:styleId="5">
    <w:name w:val="Heading 5"/>
    <w:basedOn w:val="LOnormal"/>
    <w:next w:val="LOnormal"/>
    <w:qFormat/>
    <w:pPr>
      <w:keepNext w:val="true"/>
      <w:keepLines/>
      <w:pageBreakBefore w:val="false"/>
      <w:spacing w:lineRule="auto" w:line="240" w:before="220" w:after="40"/>
    </w:pPr>
    <w:rPr>
      <w:b/>
      <w:sz w:val="22"/>
      <w:szCs w:val="22"/>
    </w:rPr>
  </w:style>
  <w:style w:type="paragraph" w:styleId="6">
    <w:name w:val="Heading 6"/>
    <w:basedOn w:val="LOnormal"/>
    <w:next w:val="LOnormal"/>
    <w:qFormat/>
    <w:pPr>
      <w:keepNext w:val="true"/>
      <w:keepLines/>
      <w:pageBreakBefore w:val="false"/>
      <w:spacing w:lineRule="auto" w:line="240" w:before="200" w:after="40"/>
    </w:pPr>
    <w:rPr>
      <w:b/>
      <w:sz w:val="20"/>
      <w:szCs w:val="20"/>
    </w:rPr>
  </w:style>
  <w:style w:type="character" w:styleId="Style8">
    <w:name w:val="Символ нумерации"/>
    <w:qFormat/>
    <w:rPr/>
  </w:style>
  <w:style w:type="paragraph" w:styleId="Style9">
    <w:name w:val="Заголовок"/>
    <w:basedOn w:val="LOnormal"/>
    <w:next w:val="Style10"/>
    <w:qFormat/>
    <w:pPr>
      <w:keepNext w:val="true"/>
      <w:spacing w:before="240" w:after="120"/>
    </w:pPr>
    <w:rPr>
      <w:rFonts w:ascii="Times New Roman" w:hAnsi="Times New Roman" w:eastAsia="Tahoma" w:cs="Arial"/>
      <w:sz w:val="28"/>
      <w:szCs w:val="28"/>
    </w:rPr>
  </w:style>
  <w:style w:type="paragraph" w:styleId="Style10">
    <w:name w:val="Body Text"/>
    <w:basedOn w:val="LOnormal"/>
    <w:pPr>
      <w:spacing w:lineRule="auto" w:line="276" w:before="0" w:after="140"/>
    </w:pPr>
    <w:rPr/>
  </w:style>
  <w:style w:type="paragraph" w:styleId="Style11">
    <w:name w:val="List"/>
    <w:basedOn w:val="Style10"/>
    <w:pPr/>
    <w:rPr>
      <w:rFonts w:cs="Arial"/>
    </w:rPr>
  </w:style>
  <w:style w:type="paragraph" w:styleId="Style12">
    <w:name w:val="Caption"/>
    <w:basedOn w:val="LOnormal"/>
    <w:qFormat/>
    <w:pPr>
      <w:suppressLineNumbers/>
      <w:spacing w:before="120" w:after="120"/>
    </w:pPr>
    <w:rPr>
      <w:rFonts w:cs="Arial"/>
      <w:i/>
      <w:iCs/>
      <w:sz w:val="24"/>
      <w:szCs w:val="24"/>
    </w:rPr>
  </w:style>
  <w:style w:type="paragraph" w:styleId="Style13">
    <w:name w:val="Указатель"/>
    <w:basedOn w:val="LOnormal"/>
    <w:qFormat/>
    <w:pPr>
      <w:suppressLineNumbers/>
    </w:pPr>
    <w:rPr>
      <w:rFonts w:cs="Arial"/>
      <w:lang w:val="zxx" w:eastAsia="zxx" w:bidi="zxx"/>
    </w:rPr>
  </w:style>
  <w:style w:type="paragraph" w:styleId="LOnormal" w:default="1">
    <w:name w:val="LO-normal"/>
    <w:qFormat/>
    <w:pPr>
      <w:widowControl/>
      <w:suppressAutoHyphens w:val="true"/>
      <w:bidi w:val="0"/>
      <w:spacing w:before="0" w:after="0"/>
      <w:jc w:val="left"/>
    </w:pPr>
    <w:rPr>
      <w:rFonts w:ascii="Times New Roman" w:hAnsi="Times New Roman" w:eastAsia="Tahoma" w:cs="Arial"/>
      <w:color w:val="auto"/>
      <w:kern w:val="0"/>
      <w:sz w:val="28"/>
      <w:szCs w:val="28"/>
      <w:lang w:val="uk-UA" w:eastAsia="zh-CN" w:bidi="hi-IN"/>
    </w:rPr>
  </w:style>
  <w:style w:type="paragraph" w:styleId="Style14">
    <w:name w:val="Title"/>
    <w:basedOn w:val="LOnormal"/>
    <w:next w:val="LOnormal"/>
    <w:qFormat/>
    <w:pPr>
      <w:keepNext w:val="true"/>
      <w:keepLines/>
      <w:pageBreakBefore w:val="false"/>
      <w:spacing w:lineRule="auto" w:line="240" w:before="480" w:after="120"/>
    </w:pPr>
    <w:rPr>
      <w:b/>
      <w:sz w:val="72"/>
      <w:szCs w:val="72"/>
    </w:rPr>
  </w:style>
  <w:style w:type="paragraph" w:styleId="Style15">
    <w:name w:val="Содержимое таблицы"/>
    <w:basedOn w:val="LOnormal"/>
    <w:qFormat/>
    <w:pPr>
      <w:widowControl w:val="false"/>
      <w:suppressLineNumbers/>
    </w:pPr>
    <w:rPr/>
  </w:style>
  <w:style w:type="paragraph" w:styleId="Style16">
    <w:name w:val="Заголовок таблицы"/>
    <w:basedOn w:val="Style15"/>
    <w:qFormat/>
    <w:pPr>
      <w:suppressLineNumbers/>
      <w:jc w:val="center"/>
    </w:pPr>
    <w:rPr>
      <w:b/>
      <w:bCs/>
    </w:rPr>
  </w:style>
  <w:style w:type="paragraph" w:styleId="Style17">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vfNOWDVX/2iRsiakJ2yPJOqiGCQ==">AMUW2mUjYgSAEqVpWTlMGnFoRvIYRR6mPK9dZ/MIPtgpp/c8uTGiqQZPG6UTocqNXdZApZ+WnyhQzxEhz11YPSu13v1mj4NTWhLzFmm4XCrGqI6Z8eIO0j4=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7</TotalTime>
  <Application>LibreOffice/7.2.1.2$Windows_x86 LibreOffice_project/87b77fad49947c1441b67c559c339af8f3517e22</Application>
  <AppVersion>15.0000</AppVersion>
  <Pages>6</Pages>
  <Words>1685</Words>
  <Characters>11616</Characters>
  <CharactersWithSpaces>13174</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2021-11-09T16:19:49Z</dcterms:created>
  <dc:creator/>
  <dc:description/>
  <dc:language>uk-UA</dc:language>
  <cp:lastModifiedBy/>
  <dcterms:modified xsi:type="dcterms:W3CDTF">2021-11-10T16:43:19Z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