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</w:tblGrid>
      <w:tr w:rsidR="008B703F" w:rsidRPr="008B703F" w:rsidTr="008B7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03F" w:rsidRPr="008B703F" w:rsidRDefault="008B703F" w:rsidP="008B703F">
            <w:pPr>
              <w:spacing w:after="15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</w:pP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Категорія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 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справи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№</w:t>
            </w:r>
            <w:bookmarkStart w:id="0" w:name="_GoBack"/>
            <w:bookmarkEnd w:id="0"/>
            <w:r w:rsidRPr="008B703F"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  <w:t>Начало формы</w:t>
            </w:r>
          </w:p>
          <w:p w:rsidR="008B703F" w:rsidRPr="008B703F" w:rsidRDefault="008B703F" w:rsidP="008B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</w:pPr>
            <w:hyperlink r:id="rId4" w:tooltip="Натисніть для перегляду всіх судових рішень по справі" w:history="1">
              <w:r w:rsidRPr="008B703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ru-UA" w:eastAsia="ru-UA"/>
                </w:rPr>
                <w:t>925/843/14</w:t>
              </w:r>
            </w:hyperlink>
          </w:p>
          <w:p w:rsidR="008B703F" w:rsidRPr="008B703F" w:rsidRDefault="008B703F" w:rsidP="008B703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</w:pPr>
            <w:r w:rsidRPr="008B703F"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  <w:t>Конец формы</w:t>
            </w:r>
          </w:p>
          <w:p w:rsidR="008B703F" w:rsidRPr="008B703F" w:rsidRDefault="008B703F" w:rsidP="008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Господарські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справи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(до 01.01.2019);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Справи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банкрутство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Банкрутство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.</w:t>
            </w:r>
          </w:p>
        </w:tc>
      </w:tr>
      <w:tr w:rsidR="008B703F" w:rsidRPr="008B703F" w:rsidTr="008B7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03F" w:rsidRPr="008B703F" w:rsidRDefault="008B703F" w:rsidP="008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Надіслано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судом: </w:t>
            </w:r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02.10.2020.</w:t>
            </w:r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Зареєстровано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</w:t>
            </w:r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02.10.2020.</w:t>
            </w:r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Оприлюднено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</w:t>
            </w:r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05.10.2020.</w:t>
            </w:r>
          </w:p>
        </w:tc>
      </w:tr>
      <w:tr w:rsidR="008B703F" w:rsidRPr="008B703F" w:rsidTr="008B7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03F" w:rsidRPr="008B703F" w:rsidRDefault="008B703F" w:rsidP="008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Дата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набрання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законної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сили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: </w:t>
            </w:r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17.09.2020</w:t>
            </w:r>
          </w:p>
        </w:tc>
      </w:tr>
      <w:tr w:rsidR="008B703F" w:rsidRPr="008B703F" w:rsidTr="008B7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B703F" w:rsidRPr="008B703F" w:rsidRDefault="008B703F" w:rsidP="008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Номер судового </w:t>
            </w:r>
            <w:proofErr w:type="spellStart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провадження</w:t>
            </w:r>
            <w:proofErr w:type="spellEnd"/>
            <w:r w:rsidRPr="008B703F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</w:t>
            </w:r>
            <w:r w:rsidRPr="008B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925/843/14</w:t>
            </w:r>
          </w:p>
        </w:tc>
      </w:tr>
    </w:tbl>
    <w:p w:rsidR="008B703F" w:rsidRPr="008B703F" w:rsidRDefault="008B703F" w:rsidP="008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pict>
          <v:rect id="_x0000_i1025" style="width:0;height:1.5pt" o:hralign="center" o:hrstd="t" o:hr="t" fillcolor="#a0a0a0" stroked="f"/>
        </w:pict>
      </w:r>
    </w:p>
    <w:p w:rsidR="008B703F" w:rsidRPr="008B703F" w:rsidRDefault="008B703F" w:rsidP="008B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noProof/>
          <w:sz w:val="24"/>
          <w:szCs w:val="24"/>
          <w:lang w:val="ru-UA" w:eastAsia="ru-UA"/>
        </w:rPr>
        <w:drawing>
          <wp:inline distT="0" distB="0" distL="0" distR="0" wp14:anchorId="01D982F6" wp14:editId="23618DF1">
            <wp:extent cx="571500" cy="762000"/>
            <wp:effectExtent l="0" t="0" r="0" b="0"/>
            <wp:docPr id="4" name="Рисунок 4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ГОСПОДАРСЬКИЙ СУД ЧЕРКАСЬКОЇ ОБЛАСТІ</w:t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 xml:space="preserve">18005, м.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Черкаси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 xml:space="preserve">, бульвар Шевченка, 307, тел.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канцелярії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 xml:space="preserve"> (0472) 31-21-49, inbox@ck.arbitr.gov.ua</w:t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УХВАЛА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"17" вересня 2020 р., м.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справа № 925/843/14</w:t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Вх.суду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№10198/20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08.07.2020</w:t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Вх.суду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№14059/20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14.09.2020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Господарський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складі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головуючого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судді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Хабазні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Ю.А.,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секретарем судового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Безверхою І.М.,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за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участю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у судовому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засіданні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: 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Пилипенко Т.В.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), Крамаренко С.Я.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адвокат), Остроушко Т.В.,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Недоступ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О.О.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Головного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ДПС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довіреностями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Ренгевич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Л.М.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Головного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Пенсійного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Денжанської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О.С., Дудник М.Д.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довіреністю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Шутенко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І.Г.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),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судове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засідання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з`явились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Афіна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розглянувши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м.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08.07.2020 №02-03/883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11.09.2020 №02-03/926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заявника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арбітражного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Пилипенко Т.В.,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про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заявою</w:t>
      </w:r>
      <w:proofErr w:type="spellEnd"/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ініціюючого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кредитора,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обмеженою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відповідальністю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Юссам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lastRenderedPageBreak/>
        <w:t xml:space="preserve">до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про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</w:t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УСТАНОВИВ: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1.Керуючим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арбітражним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Пилипенко Т.В.,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08.07.2020 №02-03/883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11.09.2020 №02-03/926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08.09.2020,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08.09.2020 №77).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2.У судовому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заявлене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підтримала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пояснила,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27.01.2020 №68) та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майданчику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"Е-Тендер"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публікацію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без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зниження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початкової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шести лотах,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переможцем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лоту №14180129/1 "Комплекс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нежитлових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будівель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Лисянського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складу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ПСП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УкрРосХім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ціновою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пропозицією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3 150 000 грн.;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результатами повторного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переможцем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лоту №14180129/7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Компелкс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Будівель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Шполянського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складу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ПСП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УкрРосХім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ціновою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пропозицією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2 471 404,80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останній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вартості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листом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25.03.2020 №84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відмовився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перший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другий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повторний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зниження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початкової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опубліковані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15.03.2020 та 30.03.2020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відбулись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-за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заявок на участь;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09.04.2020 №70)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без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зниження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початкової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опубліковані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16.04.2020 та 28.04.2020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відбулись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зв`язку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заявок на участь;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06.05.2020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лоту №14180129/7-2 "Комплекс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нежитлових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будівель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Шполянського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складу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переможцем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"Шпола-Агро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Індустрі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ціновою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пропозицією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3 210 000 грн.;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перший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другий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повторні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опубліковані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18.05.2020 та 09.06.2020,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відбулись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заявок на участь;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29.07.2020 №75)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умов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внесення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оскільки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основними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напрямками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забезпечують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неплатоспроможності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є продаж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майна, передача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визначених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складів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діяльності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внесення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запропонованих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дозволить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протягом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шести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платоспроможність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підприємства-боржника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надійшли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санаційний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01.01.2020 до 30.06.2020: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виплачено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заробітну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плату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аліменти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ФЗП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утримання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зарплати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поповнено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ПДВ;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частково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четвертої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погашено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частково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грошових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санаційному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становить 515 868,55 грн.;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усіх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залишаться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активи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повноцінно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працювати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Методику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пропорції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розподілу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06.04.2012 №14-5/У1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стосується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виключно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плати, 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застосування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було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Київський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апеляційний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постанові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24.11.2015 (з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погодився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Вищий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постанові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23.02.2016),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розглядаючи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бюджету 50%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прийшов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таких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висновків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ж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стосується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ризику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неприйняття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звільнення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бюджету 50%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то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відмічає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ч.4 ст.28 Закону з моменту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винесення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зупинені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повноваження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юридичної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особи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розпорядження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майном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повноваження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винятком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повноважень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приписами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чинного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обов`язковість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розробці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виникло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бюджету 50%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плати, як вони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закону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зборів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немає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стягнення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тому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включення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377 500 грн.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2019-2020 роки,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думку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виникнуть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3.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Присутні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Головного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ДПС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заявлене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підтримали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4.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Головного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Пенсійного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залишив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розсуд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5.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пояснили,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6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Кодексу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з процедур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банкрутства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(нова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погоджені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радою,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оскільки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включено (і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розглянуто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включення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бюджету 50%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одержаної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передачу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377 500 грн.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2019-2020 роки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оскільки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включено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планові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витрати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зобов`язаннях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бюджету 50%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користування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майном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форми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виникнуть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є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свою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чинність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зв`язку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ступом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7" w:tgtFrame="_blank" w:tooltip="Про оренду державного та комунального майна; нормативно-правовий акт № 157-IX від 03.10.2019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Закону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"Про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оренду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державного та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комунального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майна"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показниках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діяльності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відображені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результати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розділі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5.7. стор.36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містяться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таблиці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незрозумілою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розбивкою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потребують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додаткових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пояснень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розділі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5.8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Використання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банківських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установах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час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санаційних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вказані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різні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показники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надходжень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санаційному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рахунках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розділі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6.3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Перелік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станом на 01.09.2020"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вказані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показники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бюджету 50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відсотків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одержаної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в межах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498 220 грн., в тому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2019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264 600 грн., за 2020 112 900 грн. (разом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попередній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377 500 грн.),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планові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надходження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6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2020 року 120 725 грн.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яке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пояснили,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процедуру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внести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включення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бюджету 50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відсотків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одержаної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4.Учасники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члени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УПФУ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м.Черкасах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ДПІ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м.Черкасах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ГУ ДФС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Афіна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інші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рада, Прокуратура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Шутенко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І.Г.)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належним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чином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повідомлені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час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повноважні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Афіна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з`явились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 причини неявки до суду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повідомили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4.Учасник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Афіна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належним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чином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повідомлений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час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повноважний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з`явився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про причини неявки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повідомив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Явка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обов`язковою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визнавалась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ч.1 </w:t>
      </w:r>
      <w:hyperlink r:id="rId8" w:anchor="1577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ст.202 ГПК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неявка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будь-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повідомленого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належним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чином про дату, час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місце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перешкоджає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зв`язку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розглянув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справу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наявними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матеріалами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без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з`явились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 xml:space="preserve">5.При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вирішенні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заяви судом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застосовуються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9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Кодексу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з процедур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банкрутства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далі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Кодекс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та </w:t>
      </w:r>
      <w:hyperlink r:id="rId10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Закону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"Про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відновлення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платоспроможності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боржника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або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визнання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його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банкрутом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"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11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Законом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22.12.2011 №4212-VI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чинній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19.01.2013,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далі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hyperlink r:id="rId12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ru-UA" w:eastAsia="ru-UA"/>
          </w:rPr>
          <w:t>Закон №4212-VI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чинного на час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вчинення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процедурах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hyperlink r:id="rId13" w:anchor="1790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ст.233 ГПК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судовому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вступну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резолютивну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6.Заслухавши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звіт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присутніх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судовому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розглянувши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матеріали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підлягає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задоволенню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17.06.2014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норм Закону №4212-VI;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30.10.2014 №1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24.03.2015 введено процедуру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призначено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Пилипенко Т.В.,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18.08.2015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30.07.2015 за №02-01/76;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09.01.2020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23.12.2019,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23.12.2019 №67)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10.07.2020.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майданчику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"Е-Тендер"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публікацію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без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зниження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початкової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шести лотах.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Переможцем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лоту №14180129/1 "Комплекс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нежитлових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будівель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Лисянського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складу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ПСП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УкрРосХім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", лот продано за 3 150 000,00 грн.;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результатами повторного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переможцем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лоту №14180129/7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Компелкс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Будівель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Шполянського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складу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ПСП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УкрРосХім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", лот продано за 2 471 404,80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покупець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25.03.2020 №84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вартості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відмовився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опубліковані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15.03.2020, 30.03.2020, 16.04.2020, 28.04.2020, 18.05.2020 та 09.06.2020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відбулись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-за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заявок на участь.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06.05.2020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продажу лоту №14180129/7-2 "Комплекс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нежитлових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будівель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споруд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Шполянського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складу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переможцем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"Шпола-Агро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Індустрі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придбано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3 210 000 грн..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надійшли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01.01.2020 до 30.06.2020: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виплачено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заробітну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плату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аліменти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7 203 171,57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сплачено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ФЗП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утримання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зарплати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в тому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ПДФО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29 244,27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військового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збору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18 844,80 грн., ЄСВ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252 503,71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поповнено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ПДВ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780 300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четвертої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286 953,89 грн. (з них: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Афіна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 246 551,93 грн., ПАТ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Обленерго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 2 208,56 грн.,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Одеська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ЗТК" 201,43 грн.,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Технорішення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 7991,97 грн.);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3 118 929,83 грн. (в тому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відходи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6 089,66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ПДВ 1 267 681,01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податку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прибуток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72 741,47 грн., земельного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податку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1 771 043,96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надходжень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реклами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1,72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рентної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1 372,01 грн.); проведено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розрахунок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кредиторами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планом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696 136,13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земельного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податку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лютий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квітень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2020 року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95 945,32 грн.; погашено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Придніпровської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ДВС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м.Черкаси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ГТУЮ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183 542,29 грн..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На час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активи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складають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25 456 тис. грн.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основні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засоби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19 169 тис.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грошових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рахунку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становить 515 868,55 грн. з них: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зарезервованих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422 914,92 грн., в тому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числі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кредитором ТОВ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Ростенерго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385 341,12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аліментів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20 351,89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відшкодуванню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авансовими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звітами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колишніх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17 221,91 грн.);</w:t>
      </w:r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пасиви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складають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4 841 443,09 грн.,</w:t>
      </w: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них (сума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1 913 634,22 грн.,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перед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аліментів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23 500,74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зборів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1982898,71грн. +356366,25 грн.;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фактичні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565 043,17 грн. (за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виключенням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загальної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5 816 392,04 грн. 2 211 470,14 грн.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включених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930 686,43 грн.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осіб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непідконтрольній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території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1 812 811,40 грн. за векселями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вирішується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підробку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кримінальному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292 797,89 грн.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заявлені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зв`язку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невиконанням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29.07.2020 №75)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умов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внесення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та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17.08.2020 №1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29.07.2020,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29.07.2020 №75)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запропоновано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погодити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урахуванням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14" w:anchor="1177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ст.79 Кодексу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з процедур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банкрутства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особливостей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повторного та другого повторного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14.09.2020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арбітражний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Пилипенко Т.В.,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08.09.2020 №77)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звернувся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суду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11.09.2020 №02-03/926 (т.42 а.с.114)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викладених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7.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Кодексу: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ч.4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Прикінцевих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перехідних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Установити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дня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15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подальший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справ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16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незалежно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справ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день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17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перебувають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стадії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продовжується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hyperlink r:id="rId18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Закону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"Про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відновлення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платоспроможності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боржника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або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визнання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його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</w:hyperlink>
      <w:hyperlink r:id="rId19" w:tgtFrame="_blank" w:tooltip="Про відновлення платоспроможності боржника або визнання його банкрутом; нормативно-правовий акт № 2343-XII від 14.05.1992" w:history="1"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банкрутом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"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Перехід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подальше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таких справах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0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Реалізація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1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продаж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опубліковане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дня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2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непродажу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такого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подальша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реалізація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3" w:tgtFrame="_blank" w:tooltip="Кодекс України з процедур банкрутства; нормативно-правовий акт № 2597-VIII від 18.10.2018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Кодексу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 xml:space="preserve">ч.6 ст.75.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забезпечений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кредитор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згоди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продаж майна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запропонованих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згоди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продаж майна,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змінивши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продажу;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згоди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продаж майна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обґрунтуванням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причин.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ч.1 і 2 ст.75.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Арбітражний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продажу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погодженням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забезпеченим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кредитором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майна, яке є предметом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).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обов`язкових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умов продажу належать: склад майна (лот); початкова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крок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4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Законом №4212-VI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ст.28.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вмотивованим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керівника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судом, але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ніж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дванадцять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;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ч.7 ст.29.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таких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подати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відхилити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звернутися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;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відхилити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звернутися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усунення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арбітражного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ним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обов`язків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призначення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нового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порядку,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Законом. (…)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ніж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початкове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продовжує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межах строку,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першою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5" w:anchor="471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статті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28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цього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Закону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є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приведе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платоспроможності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ч.1 ст.31.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(орган,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уповноважений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управляти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майном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протягом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усієї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з метою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закриття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має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право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задовольнити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всі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внесені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реєстру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надати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боржнику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кошти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достатні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задоволення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всіх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винятком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неустойки (штрафу,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ч.6, 11 і 12 ст.36.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жодного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п`ятою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цієї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подано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закінчення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визначеного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протягом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п`ятнадцяти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днів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дня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дострокового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припинення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порядку,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передбаченому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Законом. (…)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кредиторами не проведено у строки,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та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внесення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строків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відкриває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процедуру.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межах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визначеного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Законом,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здійснюється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внесення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схвалюються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затверджуються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26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Закону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Аналізуючи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установлені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обставини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вищевказані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норми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чинного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законодавства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приходить до таких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висновків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 xml:space="preserve">8.1.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вжито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усіх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заходів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09.01.2020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Як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наслідок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80%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перед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кредиторами погашено та погашена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значна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витрат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понесених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вдалося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об`єктивних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причин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покупців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карантину </w:t>
      </w:r>
      <w:hyperlink r:id="rId27" w:tgtFrame="_blank" w:tooltip="Про запобігання поширенню на території України гострої респіраторної хвороби COVID-19, спричиненої коронавірусом SARS-CoV-2; нормативно-правовий акт № 211 від 11.03.2020" w:history="1"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постановою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Кабінету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Міністрів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11.03.2020 №211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подальше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Суб`єктивним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фактором стали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обмеження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граничних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розмірах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зниження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вартості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разом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вони стали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перешкодою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відчуження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заниженою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ціною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умовою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збереження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активів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платоспроможності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8.2.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Вирішуючи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між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процедуру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враховуючи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обставини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неодноразового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),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виходить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того,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проводить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певну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діяльність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існує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реальний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великий запас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активів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погашення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погашення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витрат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виникнуть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граничні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показники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реалізації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зацікавити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потенційно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існуючих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покупців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придбанні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майна, тому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8.3.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заявлено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Заходами,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забезпечують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КП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неплатоспроможності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18.09.2020 №77, т.42 а.с.134) є продаж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майна, передача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паливних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складів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також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здійснення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діяльності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дозволить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протягом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шести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зобов`язання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платоспроможність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підприємства-боржника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зокрема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першому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конкурсними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кредиторами,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погашення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витрат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передбачається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залишок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5 090 624 грн.,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першому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повторному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2 819 386 грн.,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продажу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усього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на другому повторному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аукціоні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проведення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розрахунків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435 416 грн.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таких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обставин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підстави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нова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містить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реальні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заходи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платоспроможності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передбачає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вимогам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80 Кодексу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зв`язку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підлягає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ч.8 </w:t>
      </w:r>
      <w:hyperlink r:id="rId28" w:anchor="525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ст.29 Закону №4212-VI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 xml:space="preserve">8.4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Враховуючи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наявність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протоколи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07.07.2020 №72, 08.09.2020 №77)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місяців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9.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відхиляє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пропозицію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процедуру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внести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частині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включення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сплаті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бюджету 50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відсотків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одержаної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плати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(як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минулі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роки так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прогнозовані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період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наступних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мотивів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9.1. У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повноваження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вносити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ст.</w:t>
      </w:r>
      <w:hyperlink r:id="rId29" w:anchor="1825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237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hyperlink r:id="rId30" w:anchor="1835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238 ГПК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при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межі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містити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висновок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позову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частково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кожної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заявлених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Фактично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пропозиція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є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пропозицією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вийти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межі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тобто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заявляються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фактично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вони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відсутні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доповнити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При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ж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заявлених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(як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вчинено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ухвалою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17.08.2020 №1).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Питання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частково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є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навіть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теретично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сумнівним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тому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вирішуватись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кожному конкретному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випадку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виходячи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умов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Так,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часткове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зробити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нікчемним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наприклад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17.08.2020 №1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прийшов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висновку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хоча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умов продажу майна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разі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спору і є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компетенцією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однак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застосувати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свою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компетенцію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оскільки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змінює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баланс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надходження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призведе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неможливості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).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Тому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випадку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приймає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відмовляти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затвердженні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не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вводити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процедуру, 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його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існуючих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ньому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мовах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9.2.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Крім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того,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ч.8 </w:t>
      </w:r>
      <w:hyperlink r:id="rId31" w:anchor="356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ст.23 Закону №4212-VI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виникли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пред`явити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такі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прийняття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 постанови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ліквідаційної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визнання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спори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кредиторами,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поточні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вирішуються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шляхом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їх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позовному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судом,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перебуває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справа про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9.3.Також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вважає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необхідне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звернути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увагу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те,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hyperlink r:id="rId32" w:anchor="580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ст.31 Закону №4212-VI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застосовуються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закінчення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протягом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усієї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з метою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закриття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провадження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справі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про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банкрутство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має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право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задовольнити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всі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внесені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реєстру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або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надати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боржнику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кошти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достатні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задоволення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всіх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конкурсних</w:t>
      </w:r>
      <w:proofErr w:type="spellEnd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Фактично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ж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вимоги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кошти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оренду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майна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вступають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суперечність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із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вказаним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положеннями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закону,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якшо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дійсно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платоспроможності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намагаються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досягти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керуючий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найменшими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втратами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для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власника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Керуючись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ст. </w:t>
      </w:r>
      <w:hyperlink r:id="rId33" w:anchor="1803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234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hyperlink r:id="rId34" w:anchor="1815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235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Господарського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процесуального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кодексу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УХВАЛИВ: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арбітражного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Пилипенко Т.В. 08.07.2020 №02-03/883 та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11.09.2020 №02-03/926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задовольнити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повністю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1.1.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Затвердити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план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комунального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Облпаливо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ради 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новій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редакції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08.09.2020,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схваленій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комітетом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(протокол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08.09.2020 №77).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1.2.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Продовжити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строк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процедури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17.03.2021.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Ухвала суду набрала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законної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сили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17.09.2020. Ухвала суду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оскаржена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Північного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апеляційного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господарського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через суд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першої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інстанції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порядку та у строки,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встановлені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статтями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35" w:anchor="2014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254-257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п.17.5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розділу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36" w:anchor="2918" w:tgtFrame="_blank" w:tooltip="Господарський процесуальний кодекс України (ред. з 15.12.2017); нормативно-правовий акт № 1798-XII від 06.11.1991" w:history="1"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ХІ</w:t>
        </w:r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hyperlink r:id="rId37" w:anchor="2918" w:tgtFrame="_blank" w:tooltip="Господарський процесуальний кодекс України (ред. з 15.12.2017); нормативно-правовий акт № 1798-XII від 06.11.1991" w:history="1"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Перехідні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положення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Господарського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процесуального</w:t>
        </w:r>
        <w:proofErr w:type="spellEnd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 xml:space="preserve"> кодексу </w:t>
        </w:r>
        <w:proofErr w:type="spellStart"/>
        <w:r w:rsidRPr="008B70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Повне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складено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підписано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02.10.2020.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Направити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рішення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керуючому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санацією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членам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комітету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кредиторів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(3),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Прокуратурі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Черкаської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Черкаській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обласній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раді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представнику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працівників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боржника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(</w:t>
      </w:r>
      <w:proofErr w:type="spellStart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Шутенко</w:t>
      </w:r>
      <w:proofErr w:type="spellEnd"/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І.Г.).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С у д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д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я Ю.А. </w:t>
      </w:r>
      <w:proofErr w:type="spellStart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Хабазня</w:t>
      </w:r>
      <w:proofErr w:type="spellEnd"/>
      <w:r w:rsidRPr="008B703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8B703F" w:rsidRPr="008B703F" w:rsidRDefault="008B703F" w:rsidP="008B7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B703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С-8, ID.14-925-0001</w:t>
      </w:r>
    </w:p>
    <w:p w:rsidR="00DF18D1" w:rsidRDefault="00DF18D1"/>
    <w:sectPr w:rsidR="00DF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3F"/>
    <w:rsid w:val="008B703F"/>
    <w:rsid w:val="00D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BEF5-F7FE-429E-88BA-D903407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an_1790/ed_2020_06_19/pravo1/T_179800.html?pravo=1" TargetMode="External"/><Relationship Id="rId18" Type="http://schemas.openxmlformats.org/officeDocument/2006/relationships/hyperlink" Target="http://search.ligazakon.ua/l_doc2.nsf/link1/ed_2018_10_18/pravo1/T234300.html?pravo=1" TargetMode="External"/><Relationship Id="rId26" Type="http://schemas.openxmlformats.org/officeDocument/2006/relationships/hyperlink" Target="http://search.ligazakon.ua/l_doc2.nsf/link1/ed_2018_10_18/pravo1/T114212.html?pravo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earch.ligazakon.ua/l_doc2.nsf/link1/ed_2020_06_19/pravo1/T182597.html?pravo=1" TargetMode="External"/><Relationship Id="rId34" Type="http://schemas.openxmlformats.org/officeDocument/2006/relationships/hyperlink" Target="http://search.ligazakon.ua/l_doc2.nsf/link1/an_1815/ed_2020_06_19/pravo1/T_179800.html?pravo=1" TargetMode="External"/><Relationship Id="rId7" Type="http://schemas.openxmlformats.org/officeDocument/2006/relationships/hyperlink" Target="http://search.ligazakon.ua/l_doc2.nsf/link1/ed_2020_07_21/pravo1/T190157.html?pravo=1" TargetMode="External"/><Relationship Id="rId12" Type="http://schemas.openxmlformats.org/officeDocument/2006/relationships/hyperlink" Target="http://search.ligazakon.ua/l_doc2.nsf/link1/ed_2018_10_18/pravo1/T114212.html?pravo=1" TargetMode="External"/><Relationship Id="rId17" Type="http://schemas.openxmlformats.org/officeDocument/2006/relationships/hyperlink" Target="http://search.ligazakon.ua/l_doc2.nsf/link1/ed_2020_06_19/pravo1/T182597.html?pravo=1" TargetMode="External"/><Relationship Id="rId25" Type="http://schemas.openxmlformats.org/officeDocument/2006/relationships/hyperlink" Target="http://search.ligazakon.ua/l_doc2.nsf/link1/an_471/ed_2018_10_18/pravo1/T114212.html?pravo=1" TargetMode="External"/><Relationship Id="rId33" Type="http://schemas.openxmlformats.org/officeDocument/2006/relationships/hyperlink" Target="http://search.ligazakon.ua/l_doc2.nsf/link1/an_1803/ed_2020_06_19/pravo1/T_179800.html?pravo=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20_06_19/pravo1/T182597.html?pravo=1" TargetMode="External"/><Relationship Id="rId20" Type="http://schemas.openxmlformats.org/officeDocument/2006/relationships/hyperlink" Target="http://search.ligazakon.ua/l_doc2.nsf/link1/ed_2020_06_19/pravo1/T182597.html?pravo=1" TargetMode="External"/><Relationship Id="rId29" Type="http://schemas.openxmlformats.org/officeDocument/2006/relationships/hyperlink" Target="http://search.ligazakon.ua/l_doc2.nsf/link1/an_1825/ed_2020_06_19/pravo1/T_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20_06_19/pravo1/T182597.html?pravo=1" TargetMode="External"/><Relationship Id="rId11" Type="http://schemas.openxmlformats.org/officeDocument/2006/relationships/hyperlink" Target="http://search.ligazakon.ua/l_doc2.nsf/link1/ed_2018_10_18/pravo1/T114212.html?pravo=1" TargetMode="External"/><Relationship Id="rId24" Type="http://schemas.openxmlformats.org/officeDocument/2006/relationships/hyperlink" Target="http://search.ligazakon.ua/l_doc2.nsf/link1/ed_2018_10_18/pravo1/T114212.html?pravo=1" TargetMode="External"/><Relationship Id="rId32" Type="http://schemas.openxmlformats.org/officeDocument/2006/relationships/hyperlink" Target="http://search.ligazakon.ua/l_doc2.nsf/link1/an_580/ed_2018_10_18/pravo1/T114212.html?pravo=1" TargetMode="External"/><Relationship Id="rId37" Type="http://schemas.openxmlformats.org/officeDocument/2006/relationships/hyperlink" Target="http://search.ligazakon.ua/l_doc2.nsf/link1/an_2918/ed_2020_06_19/pravo1/T_179800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ed_2020_06_19/pravo1/T182597.html?pravo=1" TargetMode="External"/><Relationship Id="rId23" Type="http://schemas.openxmlformats.org/officeDocument/2006/relationships/hyperlink" Target="http://search.ligazakon.ua/l_doc2.nsf/link1/ed_2020_06_19/pravo1/T182597.html?pravo=1" TargetMode="External"/><Relationship Id="rId28" Type="http://schemas.openxmlformats.org/officeDocument/2006/relationships/hyperlink" Target="http://search.ligazakon.ua/l_doc2.nsf/link1/an_525/ed_2018_10_18/pravo1/T114212.html?pravo=1" TargetMode="External"/><Relationship Id="rId36" Type="http://schemas.openxmlformats.org/officeDocument/2006/relationships/hyperlink" Target="http://search.ligazakon.ua/l_doc2.nsf/link1/an_2918/ed_2020_06_19/pravo1/T_179800.html?pravo=1" TargetMode="External"/><Relationship Id="rId10" Type="http://schemas.openxmlformats.org/officeDocument/2006/relationships/hyperlink" Target="http://search.ligazakon.ua/l_doc2.nsf/link1/ed_2018_10_18/pravo1/T234300.html?pravo=1" TargetMode="External"/><Relationship Id="rId19" Type="http://schemas.openxmlformats.org/officeDocument/2006/relationships/hyperlink" Target="http://search.ligazakon.ua/l_doc2.nsf/link1/ed_2018_10_18/pravo1/T234300.html?pravo=1" TargetMode="External"/><Relationship Id="rId31" Type="http://schemas.openxmlformats.org/officeDocument/2006/relationships/hyperlink" Target="http://search.ligazakon.ua/l_doc2.nsf/link1/an_356/ed_2018_10_18/pravo1/T114212.html?pravo=1" TargetMode="External"/><Relationship Id="rId4" Type="http://schemas.openxmlformats.org/officeDocument/2006/relationships/hyperlink" Target="http://www.reyestr.court.gov.ua/Review/91939552" TargetMode="External"/><Relationship Id="rId9" Type="http://schemas.openxmlformats.org/officeDocument/2006/relationships/hyperlink" Target="http://search.ligazakon.ua/l_doc2.nsf/link1/ed_2020_06_19/pravo1/T182597.html?pravo=1" TargetMode="External"/><Relationship Id="rId14" Type="http://schemas.openxmlformats.org/officeDocument/2006/relationships/hyperlink" Target="http://search.ligazakon.ua/l_doc2.nsf/link1/an_1177/ed_2020_06_19/pravo1/T182597.html?pravo=1" TargetMode="External"/><Relationship Id="rId22" Type="http://schemas.openxmlformats.org/officeDocument/2006/relationships/hyperlink" Target="http://search.ligazakon.ua/l_doc2.nsf/link1/ed_2020_06_19/pravo1/T182597.html?pravo=1" TargetMode="External"/><Relationship Id="rId27" Type="http://schemas.openxmlformats.org/officeDocument/2006/relationships/hyperlink" Target="http://search.ligazakon.ua/l_doc2.nsf/link1/ed_2020_08_29/pravo1/KP200211.html?pravo=1" TargetMode="External"/><Relationship Id="rId30" Type="http://schemas.openxmlformats.org/officeDocument/2006/relationships/hyperlink" Target="http://search.ligazakon.ua/l_doc2.nsf/link1/an_1835/ed_2020_06_19/pravo1/T_179800.html?pravo=1" TargetMode="External"/><Relationship Id="rId35" Type="http://schemas.openxmlformats.org/officeDocument/2006/relationships/hyperlink" Target="http://search.ligazakon.ua/l_doc2.nsf/link1/an_2014/ed_2020_06_19/pravo1/T_179800.html?pravo=1" TargetMode="External"/><Relationship Id="rId8" Type="http://schemas.openxmlformats.org/officeDocument/2006/relationships/hyperlink" Target="http://search.ligazakon.ua/l_doc2.nsf/link1/an_1577/ed_2020_06_19/pravo1/T_179800.html?pravo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5353</Words>
  <Characters>30513</Characters>
  <Application>Microsoft Office Word</Application>
  <DocSecurity>0</DocSecurity>
  <Lines>254</Lines>
  <Paragraphs>71</Paragraphs>
  <ScaleCrop>false</ScaleCrop>
  <Company/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2020-10-29T17:46:00Z</dcterms:created>
  <dcterms:modified xsi:type="dcterms:W3CDTF">2020-10-29T17:47:00Z</dcterms:modified>
</cp:coreProperties>
</file>