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BE" w:rsidRDefault="00355FBE"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державної власності </w:t>
      </w:r>
    </w:p>
    <w:p w:rsidR="00355FBE" w:rsidRDefault="00355FBE"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355FBE"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355FBE"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355FBE" w:rsidRPr="00365513" w:rsidRDefault="00355FBE">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355FBE" w:rsidRPr="00365513" w:rsidRDefault="00355FBE">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355FBE" w:rsidRPr="00365513" w:rsidRDefault="00355FBE">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355FBE" w:rsidRPr="00365513" w:rsidRDefault="00355FBE"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355FBE" w:rsidRPr="00365513" w:rsidRDefault="00355FBE"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355FBE" w:rsidRPr="00365513" w:rsidRDefault="00355FBE"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 xml:space="preserve">накази Фонду державного майна України від 06.06.2019 № 185-р., від 02.07.2019 № 640 та наказу Регіонального відділення ФДМУ по Рівненській та Житомирській областях від </w:t>
            </w:r>
            <w:r>
              <w:rPr>
                <w:rFonts w:ascii="Times New Roman" w:hAnsi="Times New Roman"/>
                <w:sz w:val="24"/>
                <w:szCs w:val="24"/>
              </w:rPr>
              <w:t>04.09.2020 № 480</w:t>
            </w: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355FBE" w:rsidRPr="00365513" w:rsidRDefault="00355FBE"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val="ru-RU" w:eastAsia="en-US"/>
              </w:rPr>
            </w:pP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355FBE" w:rsidRPr="002079F8" w:rsidRDefault="00355FBE">
            <w:pPr>
              <w:spacing w:before="120"/>
              <w:rPr>
                <w:rFonts w:ascii="Times New Roman" w:hAnsi="Times New Roman"/>
                <w:color w:val="000000"/>
                <w:sz w:val="24"/>
                <w:szCs w:val="24"/>
                <w:lang w:val="ru-RU" w:eastAsia="en-US"/>
              </w:rPr>
            </w:pP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355FBE" w:rsidRPr="00E96D5B" w:rsidRDefault="00355FBE" w:rsidP="002478FD">
            <w:pPr>
              <w:spacing w:before="120"/>
              <w:rPr>
                <w:rFonts w:ascii="Times New Roman" w:hAnsi="Times New Roman"/>
                <w:color w:val="000000"/>
                <w:sz w:val="24"/>
                <w:szCs w:val="24"/>
                <w:lang w:val="ru-RU" w:eastAsia="en-US"/>
              </w:rPr>
            </w:pPr>
            <w:r w:rsidRPr="00982F21">
              <w:rPr>
                <w:rFonts w:hint="eastAsia"/>
                <w:sz w:val="22"/>
                <w:szCs w:val="22"/>
              </w:rPr>
              <w:t>Бердичівське</w:t>
            </w:r>
            <w:r w:rsidRPr="00982F21">
              <w:rPr>
                <w:sz w:val="22"/>
                <w:szCs w:val="22"/>
              </w:rPr>
              <w:t xml:space="preserve"> </w:t>
            </w:r>
            <w:r w:rsidRPr="00982F21">
              <w:rPr>
                <w:rFonts w:hint="eastAsia"/>
                <w:sz w:val="22"/>
                <w:szCs w:val="22"/>
              </w:rPr>
              <w:t>управління</w:t>
            </w:r>
            <w:r w:rsidRPr="00982F21">
              <w:rPr>
                <w:sz w:val="22"/>
                <w:szCs w:val="22"/>
              </w:rPr>
              <w:t xml:space="preserve"> </w:t>
            </w:r>
            <w:r w:rsidRPr="00982F21">
              <w:rPr>
                <w:rFonts w:hint="eastAsia"/>
                <w:sz w:val="22"/>
                <w:szCs w:val="22"/>
              </w:rPr>
              <w:t>Державної</w:t>
            </w:r>
            <w:r w:rsidRPr="00982F21">
              <w:rPr>
                <w:sz w:val="22"/>
                <w:szCs w:val="22"/>
              </w:rPr>
              <w:t xml:space="preserve"> </w:t>
            </w:r>
            <w:r w:rsidRPr="00982F21">
              <w:rPr>
                <w:rFonts w:hint="eastAsia"/>
                <w:sz w:val="22"/>
                <w:szCs w:val="22"/>
              </w:rPr>
              <w:t>казначейської</w:t>
            </w:r>
            <w:r w:rsidRPr="00982F21">
              <w:rPr>
                <w:sz w:val="22"/>
                <w:szCs w:val="22"/>
              </w:rPr>
              <w:t xml:space="preserve"> </w:t>
            </w:r>
            <w:r w:rsidRPr="00982F21">
              <w:rPr>
                <w:rFonts w:hint="eastAsia"/>
                <w:sz w:val="22"/>
                <w:szCs w:val="22"/>
              </w:rPr>
              <w:t>служби</w:t>
            </w:r>
            <w:r w:rsidRPr="00982F21">
              <w:rPr>
                <w:sz w:val="22"/>
                <w:szCs w:val="22"/>
              </w:rPr>
              <w:t xml:space="preserve"> </w:t>
            </w:r>
            <w:r w:rsidRPr="00982F21">
              <w:rPr>
                <w:rFonts w:hint="eastAsia"/>
                <w:sz w:val="22"/>
                <w:szCs w:val="22"/>
              </w:rPr>
              <w:t>Украіни</w:t>
            </w:r>
            <w:r w:rsidRPr="00982F21">
              <w:rPr>
                <w:sz w:val="22"/>
                <w:szCs w:val="22"/>
              </w:rPr>
              <w:t xml:space="preserve"> </w:t>
            </w:r>
            <w:r w:rsidRPr="00982F21">
              <w:rPr>
                <w:rFonts w:hint="eastAsia"/>
                <w:sz w:val="22"/>
                <w:szCs w:val="22"/>
              </w:rPr>
              <w:t>Житомирської</w:t>
            </w:r>
            <w:r w:rsidRPr="00982F21">
              <w:rPr>
                <w:sz w:val="22"/>
                <w:szCs w:val="22"/>
              </w:rPr>
              <w:t xml:space="preserve"> </w:t>
            </w:r>
            <w:r w:rsidRPr="00982F21">
              <w:rPr>
                <w:rFonts w:hint="eastAsia"/>
                <w:sz w:val="22"/>
                <w:szCs w:val="22"/>
              </w:rPr>
              <w:t>області</w:t>
            </w:r>
          </w:p>
        </w:tc>
        <w:tc>
          <w:tcPr>
            <w:tcW w:w="1300" w:type="dxa"/>
            <w:tcBorders>
              <w:top w:val="single" w:sz="4" w:space="0" w:color="000000"/>
              <w:left w:val="nil"/>
              <w:bottom w:val="single" w:sz="4" w:space="0" w:color="000000"/>
              <w:right w:val="single" w:sz="4" w:space="0" w:color="000000"/>
            </w:tcBorders>
          </w:tcPr>
          <w:p w:rsidR="00355FBE" w:rsidRPr="00E96D5B" w:rsidRDefault="00355FBE" w:rsidP="002478FD">
            <w:pPr>
              <w:spacing w:before="120"/>
              <w:rPr>
                <w:rFonts w:ascii="Times New Roman" w:hAnsi="Times New Roman"/>
                <w:color w:val="000000"/>
                <w:sz w:val="24"/>
                <w:szCs w:val="24"/>
                <w:lang w:val="ru-RU" w:eastAsia="en-US"/>
              </w:rPr>
            </w:pPr>
            <w:r w:rsidRPr="00982F21">
              <w:rPr>
                <w:sz w:val="22"/>
                <w:szCs w:val="22"/>
              </w:rPr>
              <w:t>37752874</w:t>
            </w:r>
          </w:p>
        </w:tc>
        <w:tc>
          <w:tcPr>
            <w:tcW w:w="1327" w:type="dxa"/>
            <w:tcBorders>
              <w:top w:val="single" w:sz="4" w:space="0" w:color="000000"/>
              <w:left w:val="nil"/>
              <w:bottom w:val="single" w:sz="4" w:space="0" w:color="000000"/>
              <w:right w:val="single" w:sz="4" w:space="0" w:color="000000"/>
            </w:tcBorders>
          </w:tcPr>
          <w:p w:rsidR="00355FBE" w:rsidRPr="00365513" w:rsidRDefault="00355FBE" w:rsidP="00A06A83">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355FBE" w:rsidRPr="00365513" w:rsidRDefault="00355FBE" w:rsidP="002478FD">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355FBE" w:rsidRPr="00365513" w:rsidRDefault="00355FBE" w:rsidP="002478FD">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355FBE" w:rsidRPr="00365513" w:rsidRDefault="00355FBE" w:rsidP="002478FD">
            <w:pPr>
              <w:spacing w:before="120"/>
              <w:rPr>
                <w:rFonts w:ascii="Times New Roman" w:hAnsi="Times New Roman"/>
                <w:color w:val="000000"/>
                <w:sz w:val="24"/>
                <w:szCs w:val="24"/>
                <w:lang w:val="ru-RU" w:eastAsia="en-US"/>
              </w:rPr>
            </w:pPr>
          </w:p>
        </w:tc>
      </w:tr>
      <w:tr w:rsidR="00355FBE"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55FBE" w:rsidRPr="002478FD" w:rsidRDefault="00355FBE" w:rsidP="002478FD">
            <w:pPr>
              <w:spacing w:before="120"/>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355FBE" w:rsidRPr="00EB701C" w:rsidTr="007D5EDE">
        <w:trPr>
          <w:trHeight w:val="320"/>
        </w:trPr>
        <w:tc>
          <w:tcPr>
            <w:tcW w:w="770" w:type="dxa"/>
            <w:tcBorders>
              <w:top w:val="nil"/>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355FBE" w:rsidRPr="00C528AF" w:rsidRDefault="00355FBE" w:rsidP="002478FD">
            <w:pPr>
              <w:spacing w:before="120"/>
              <w:rPr>
                <w:rFonts w:ascii="Times New Roman" w:hAnsi="Times New Roman"/>
                <w:color w:val="000000"/>
                <w:sz w:val="24"/>
                <w:szCs w:val="24"/>
                <w:lang w:eastAsia="en-US"/>
              </w:rPr>
            </w:pPr>
            <w:r w:rsidRPr="00C528AF">
              <w:rPr>
                <w:rFonts w:ascii="Times New Roman" w:hAnsi="Times New Roman"/>
                <w:sz w:val="22"/>
                <w:szCs w:val="22"/>
              </w:rPr>
              <w:t xml:space="preserve">Нежитлові приміщення адмінбудівлі площею </w:t>
            </w:r>
            <w:smartTag w:uri="urn:schemas-microsoft-com:office:smarttags" w:element="metricconverter">
              <w:smartTagPr>
                <w:attr w:name="ProductID" w:val="31”"/>
              </w:smartTagPr>
              <w:r w:rsidRPr="00C528AF">
                <w:rPr>
                  <w:rFonts w:ascii="Times New Roman" w:hAnsi="Times New Roman"/>
                  <w:sz w:val="22"/>
                  <w:szCs w:val="22"/>
                </w:rPr>
                <w:t>53.6 кв. м</w:t>
              </w:r>
            </w:smartTag>
            <w:r w:rsidRPr="00C528AF">
              <w:rPr>
                <w:rFonts w:ascii="Times New Roman" w:hAnsi="Times New Roman"/>
                <w:sz w:val="22"/>
                <w:szCs w:val="22"/>
              </w:rPr>
              <w:t>, за адресою: Житомирська обл., м. Бердичів, вул. В. Чорновола, 9</w:t>
            </w:r>
          </w:p>
        </w:tc>
      </w:tr>
      <w:tr w:rsidR="00355FBE" w:rsidRPr="00365513" w:rsidTr="007D5EDE">
        <w:trPr>
          <w:trHeight w:val="320"/>
        </w:trPr>
        <w:tc>
          <w:tcPr>
            <w:tcW w:w="770" w:type="dxa"/>
            <w:tcBorders>
              <w:top w:val="nil"/>
              <w:left w:val="single" w:sz="4" w:space="0" w:color="000000"/>
              <w:bottom w:val="single" w:sz="4" w:space="0" w:color="auto"/>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355FBE" w:rsidRPr="00365513" w:rsidRDefault="00355FBE">
            <w:pPr>
              <w:spacing w:before="120"/>
              <w:jc w:val="center"/>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355FBE" w:rsidRPr="00365513" w:rsidRDefault="00355FBE">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355FBE"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355FBE" w:rsidRPr="00365513" w:rsidTr="007D5EDE">
        <w:trPr>
          <w:trHeight w:val="320"/>
        </w:trPr>
        <w:tc>
          <w:tcPr>
            <w:tcW w:w="770" w:type="dxa"/>
            <w:tcBorders>
              <w:top w:val="nil"/>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355FBE" w:rsidRPr="00365513" w:rsidTr="007D5EDE">
        <w:trPr>
          <w:trHeight w:val="320"/>
        </w:trPr>
        <w:tc>
          <w:tcPr>
            <w:tcW w:w="770" w:type="dxa"/>
            <w:tcBorders>
              <w:top w:val="nil"/>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355FBE" w:rsidRPr="00365513" w:rsidTr="007D5EDE">
        <w:trPr>
          <w:trHeight w:val="260"/>
        </w:trPr>
        <w:tc>
          <w:tcPr>
            <w:tcW w:w="770" w:type="dxa"/>
            <w:tcBorders>
              <w:top w:val="nil"/>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355FBE"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355FBE" w:rsidRPr="00365513" w:rsidRDefault="00355FBE">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355FBE"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355FBE" w:rsidRPr="00365513" w:rsidRDefault="00355FBE">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355FBE" w:rsidRPr="00365513" w:rsidRDefault="00355FBE">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355FBE" w:rsidRPr="00365513" w:rsidRDefault="00355FBE"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 xml:space="preserve">без податку на додану вартість </w:t>
            </w:r>
            <w:r w:rsidRPr="00982F21">
              <w:rPr>
                <w:sz w:val="22"/>
                <w:szCs w:val="22"/>
              </w:rPr>
              <w:t>17730.26</w:t>
            </w:r>
            <w:r>
              <w:rPr>
                <w:rFonts w:ascii="Times New Roman" w:hAnsi="Times New Roman"/>
                <w:sz w:val="22"/>
                <w:szCs w:val="22"/>
              </w:rPr>
              <w:t xml:space="preserve"> </w:t>
            </w:r>
            <w:r>
              <w:rPr>
                <w:rFonts w:ascii="Times New Roman" w:hAnsi="Times New Roman"/>
                <w:color w:val="000000"/>
                <w:sz w:val="24"/>
                <w:szCs w:val="24"/>
                <w:lang w:eastAsia="en-US"/>
              </w:rPr>
              <w:t>грн</w:t>
            </w:r>
          </w:p>
        </w:tc>
        <w:tc>
          <w:tcPr>
            <w:tcW w:w="2992"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1”"/>
              </w:smartTagPr>
              <w:r>
                <w:rPr>
                  <w:rFonts w:ascii="Times New Roman" w:hAnsi="Times New Roman"/>
                  <w:color w:val="000000"/>
                  <w:sz w:val="24"/>
                  <w:szCs w:val="24"/>
                  <w:lang w:val="ru-RU" w:eastAsia="en-US"/>
                </w:rPr>
                <w:t>31</w:t>
              </w:r>
              <w:r w:rsidRPr="00365513">
                <w:rPr>
                  <w:rFonts w:ascii="Times New Roman" w:hAnsi="Times New Roman"/>
                  <w:color w:val="000000"/>
                  <w:sz w:val="24"/>
                  <w:szCs w:val="24"/>
                  <w:lang w:val="ru-RU" w:eastAsia="en-US"/>
                </w:rPr>
                <w:t>”</w:t>
              </w:r>
            </w:smartTag>
            <w:r>
              <w:rPr>
                <w:rFonts w:ascii="Times New Roman" w:hAnsi="Times New Roman"/>
                <w:color w:val="000000"/>
                <w:sz w:val="24"/>
                <w:szCs w:val="24"/>
                <w:lang w:eastAsia="en-US"/>
              </w:rPr>
              <w:t xml:space="preserve"> грудня 20</w:t>
            </w:r>
            <w:r w:rsidRPr="00365513">
              <w:rPr>
                <w:rFonts w:ascii="Times New Roman" w:hAnsi="Times New Roman"/>
                <w:color w:val="000000"/>
                <w:sz w:val="24"/>
                <w:szCs w:val="24"/>
                <w:lang w:eastAsia="en-US"/>
              </w:rPr>
              <w:t>2</w:t>
            </w:r>
            <w:r>
              <w:rPr>
                <w:rFonts w:ascii="Times New Roman" w:hAnsi="Times New Roman"/>
                <w:color w:val="000000"/>
                <w:sz w:val="24"/>
                <w:szCs w:val="24"/>
                <w:lang w:eastAsia="en-US"/>
              </w:rPr>
              <w:t>0</w:t>
            </w:r>
            <w:r w:rsidRPr="00365513">
              <w:rPr>
                <w:rFonts w:ascii="Times New Roman" w:hAnsi="Times New Roman"/>
                <w:color w:val="000000"/>
                <w:sz w:val="24"/>
                <w:szCs w:val="24"/>
                <w:lang w:eastAsia="en-US"/>
              </w:rPr>
              <w:t>р.</w:t>
            </w:r>
          </w:p>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355FBE" w:rsidRPr="00365513" w:rsidRDefault="00355FBE">
            <w:pPr>
              <w:spacing w:before="120"/>
              <w:jc w:val="center"/>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355FBE" w:rsidRPr="00365513" w:rsidRDefault="00355FBE">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355FBE" w:rsidRPr="00365513" w:rsidRDefault="00355FBE"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 xml:space="preserve">ез податку на додану вартість </w:t>
            </w:r>
            <w:r w:rsidRPr="00982F21">
              <w:rPr>
                <w:sz w:val="22"/>
                <w:szCs w:val="22"/>
              </w:rPr>
              <w:t>17730.26</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355FBE" w:rsidRPr="00365513" w:rsidRDefault="00355FBE">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355FBE" w:rsidRPr="00365513" w:rsidRDefault="00355FBE">
            <w:pPr>
              <w:spacing w:before="120"/>
              <w:jc w:val="center"/>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ind w:left="-73" w:right="-48"/>
              <w:jc w:val="center"/>
              <w:rPr>
                <w:rFonts w:ascii="Times New Roman" w:hAnsi="Times New Roman"/>
                <w:color w:val="000000"/>
                <w:sz w:val="24"/>
                <w:szCs w:val="24"/>
                <w:lang w:eastAsia="en-US"/>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355FBE" w:rsidRDefault="00355FBE" w:rsidP="00CE6D0E">
            <w:pPr>
              <w:spacing w:before="120"/>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355FBE" w:rsidRPr="00365513" w:rsidRDefault="00355FBE" w:rsidP="00CE6D0E">
            <w:pPr>
              <w:spacing w:before="120"/>
              <w:jc w:val="center"/>
              <w:rPr>
                <w:rFonts w:ascii="Times New Roman" w:hAnsi="Times New Roman"/>
                <w:sz w:val="24"/>
                <w:szCs w:val="24"/>
                <w:lang w:eastAsia="en-US"/>
              </w:rPr>
            </w:pPr>
            <w:r>
              <w:rPr>
                <w:rFonts w:ascii="Times New Roman" w:hAnsi="Times New Roman"/>
                <w:sz w:val="24"/>
                <w:szCs w:val="24"/>
                <w:lang w:eastAsia="en-US"/>
              </w:rPr>
              <w:t xml:space="preserve">Надання фінансових послуг </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355FBE" w:rsidRPr="00365513" w:rsidRDefault="00355FBE">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355FBE" w:rsidRPr="00365513" w:rsidRDefault="00355FBE">
            <w:pPr>
              <w:spacing w:before="120"/>
              <w:jc w:val="center"/>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355FBE"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355FBE" w:rsidRPr="00365513" w:rsidRDefault="00355FBE">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355FBE" w:rsidRPr="00365513" w:rsidTr="007D5EDE">
        <w:trPr>
          <w:trHeight w:val="320"/>
        </w:trPr>
        <w:tc>
          <w:tcPr>
            <w:tcW w:w="770" w:type="dxa"/>
            <w:tcBorders>
              <w:top w:val="single" w:sz="4" w:space="0" w:color="000000"/>
              <w:left w:val="single" w:sz="4" w:space="0" w:color="000000"/>
              <w:bottom w:val="nil"/>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355FBE" w:rsidRPr="00365513" w:rsidRDefault="00355FBE">
            <w:pPr>
              <w:spacing w:before="120"/>
              <w:jc w:val="center"/>
              <w:rPr>
                <w:rFonts w:ascii="Times New Roman" w:hAnsi="Times New Roman"/>
                <w:color w:val="000000"/>
                <w:sz w:val="24"/>
                <w:szCs w:val="24"/>
                <w:lang w:eastAsia="en-US"/>
              </w:rPr>
            </w:pPr>
          </w:p>
        </w:tc>
      </w:tr>
      <w:tr w:rsidR="00355FBE"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355FBE" w:rsidRPr="00365513" w:rsidRDefault="00355FBE">
            <w:pPr>
              <w:spacing w:before="120"/>
              <w:ind w:left="248"/>
              <w:rPr>
                <w:rFonts w:ascii="Times New Roman" w:hAnsi="Times New Roman"/>
                <w:color w:val="000000"/>
                <w:sz w:val="24"/>
                <w:szCs w:val="24"/>
                <w:lang w:eastAsia="en-US"/>
              </w:rPr>
            </w:pPr>
          </w:p>
          <w:p w:rsidR="00355FBE" w:rsidRPr="00365513" w:rsidRDefault="00355FBE">
            <w:pPr>
              <w:spacing w:before="120"/>
              <w:rPr>
                <w:rFonts w:ascii="Times New Roman" w:hAnsi="Times New Roman"/>
                <w:color w:val="000000"/>
                <w:sz w:val="24"/>
                <w:szCs w:val="24"/>
                <w:lang w:eastAsia="en-US"/>
              </w:rPr>
            </w:pPr>
          </w:p>
        </w:tc>
      </w:tr>
    </w:tbl>
    <w:p w:rsidR="00355FBE" w:rsidRPr="00365513" w:rsidRDefault="00355FBE"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355FBE"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355FBE" w:rsidRPr="00365513" w:rsidRDefault="00355FBE">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55FBE" w:rsidRPr="00365513" w:rsidRDefault="00355FBE">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355FBE"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355FBE" w:rsidRPr="00365513" w:rsidRDefault="00355FBE">
            <w:pPr>
              <w:spacing w:before="120"/>
              <w:ind w:left="248"/>
              <w:jc w:val="center"/>
              <w:rPr>
                <w:rFonts w:ascii="Times New Roman" w:hAnsi="Times New Roman"/>
                <w:color w:val="000000"/>
                <w:sz w:val="24"/>
                <w:szCs w:val="24"/>
                <w:lang w:eastAsia="en-US"/>
              </w:rPr>
            </w:pPr>
          </w:p>
        </w:tc>
      </w:tr>
      <w:tr w:rsidR="00355FBE"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355FBE" w:rsidRPr="00365513" w:rsidRDefault="00355FBE">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355FBE" w:rsidRPr="00365513" w:rsidRDefault="00355FBE">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355FBE"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355FBE" w:rsidRPr="00365513" w:rsidRDefault="00355FBE"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Не надається</w:t>
            </w:r>
          </w:p>
          <w:p w:rsidR="00355FBE" w:rsidRPr="00365513" w:rsidRDefault="00355FBE">
            <w:pPr>
              <w:rPr>
                <w:rFonts w:ascii="Times New Roman" w:hAnsi="Times New Roman"/>
                <w:color w:val="000000"/>
                <w:sz w:val="24"/>
                <w:szCs w:val="24"/>
                <w:lang w:eastAsia="en-US"/>
              </w:rPr>
            </w:pPr>
          </w:p>
        </w:tc>
      </w:tr>
      <w:tr w:rsidR="00355FBE"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355FBE" w:rsidRPr="00365513" w:rsidRDefault="00355FBE">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355FBE"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55FBE" w:rsidRPr="00365513" w:rsidRDefault="00355FBE">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355FBE"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355FBE" w:rsidRPr="00365513" w:rsidRDefault="00355FBE">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355FBE" w:rsidRPr="00365513" w:rsidRDefault="00355FBE">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355FBE" w:rsidRPr="00365513" w:rsidRDefault="00355FBE">
            <w:pPr>
              <w:spacing w:before="120"/>
              <w:rPr>
                <w:rFonts w:ascii="Times New Roman" w:hAnsi="Times New Roman"/>
                <w:color w:val="000000"/>
                <w:sz w:val="24"/>
                <w:szCs w:val="24"/>
                <w:lang w:eastAsia="en-US"/>
              </w:rPr>
            </w:pPr>
          </w:p>
        </w:tc>
      </w:tr>
      <w:tr w:rsidR="00355FBE"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355FBE" w:rsidRPr="00FB13A3" w:rsidRDefault="00355FBE">
            <w:pPr>
              <w:spacing w:before="120"/>
              <w:jc w:val="center"/>
              <w:rPr>
                <w:rFonts w:ascii="Times New Roman" w:hAnsi="Times New Roman"/>
                <w:color w:val="000000"/>
                <w:sz w:val="24"/>
                <w:szCs w:val="24"/>
                <w:lang w:eastAsia="en-US"/>
              </w:rPr>
            </w:pPr>
            <w:r w:rsidRPr="00FB13A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355FBE" w:rsidRPr="00FB13A3" w:rsidRDefault="00355FBE">
            <w:pPr>
              <w:spacing w:before="120"/>
              <w:rPr>
                <w:rFonts w:ascii="Times New Roman" w:hAnsi="Times New Roman"/>
                <w:color w:val="000000"/>
                <w:sz w:val="24"/>
                <w:szCs w:val="24"/>
                <w:lang w:eastAsia="en-US"/>
              </w:rPr>
            </w:pPr>
            <w:r w:rsidRPr="00FB13A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355FBE" w:rsidRPr="00191C31" w:rsidRDefault="00355FBE">
            <w:pPr>
              <w:spacing w:before="120"/>
              <w:rPr>
                <w:rFonts w:ascii="Times New Roman" w:hAnsi="Times New Roman"/>
                <w:color w:val="000000"/>
                <w:sz w:val="24"/>
                <w:szCs w:val="24"/>
                <w:lang w:eastAsia="en-US"/>
              </w:rPr>
            </w:pPr>
            <w:r w:rsidRPr="00191C31">
              <w:rPr>
                <w:rFonts w:ascii="Times New Roman" w:hAnsi="Times New Roman"/>
                <w:color w:val="000000"/>
                <w:sz w:val="24"/>
                <w:szCs w:val="24"/>
                <w:lang w:eastAsia="en-US"/>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355FBE" w:rsidRPr="00191C31" w:rsidRDefault="00355FBE">
            <w:pPr>
              <w:spacing w:before="120"/>
              <w:rPr>
                <w:rFonts w:ascii="Times New Roman" w:hAnsi="Times New Roman"/>
                <w:color w:val="000000"/>
                <w:sz w:val="24"/>
                <w:szCs w:val="24"/>
                <w:lang w:eastAsia="en-US"/>
              </w:rPr>
            </w:pPr>
            <w:r w:rsidRPr="00191C31">
              <w:rPr>
                <w:rFonts w:ascii="Times New Roman" w:hAnsi="Times New Roman"/>
                <w:color w:val="000000"/>
                <w:sz w:val="24"/>
                <w:szCs w:val="24"/>
                <w:lang w:eastAsia="en-US"/>
              </w:rPr>
              <w:t>державному бюджету 50 ві</w:t>
            </w:r>
            <w:bookmarkStart w:id="0" w:name="_GoBack"/>
            <w:bookmarkEnd w:id="0"/>
            <w:r w:rsidRPr="00191C31">
              <w:rPr>
                <w:rFonts w:ascii="Times New Roman" w:hAnsi="Times New Roman"/>
                <w:color w:val="000000"/>
                <w:sz w:val="24"/>
                <w:szCs w:val="24"/>
                <w:lang w:eastAsia="en-US"/>
              </w:rPr>
              <w:t>дсотків суми орендної плати</w:t>
            </w:r>
          </w:p>
          <w:p w:rsidR="00355FBE" w:rsidRPr="00191C31" w:rsidRDefault="00355FBE">
            <w:pPr>
              <w:spacing w:before="120"/>
              <w:rPr>
                <w:rFonts w:ascii="Times New Roman" w:hAnsi="Times New Roman"/>
                <w:color w:val="000000"/>
                <w:sz w:val="24"/>
                <w:szCs w:val="24"/>
                <w:lang w:eastAsia="en-US"/>
              </w:rPr>
            </w:pPr>
          </w:p>
        </w:tc>
      </w:tr>
    </w:tbl>
    <w:p w:rsidR="00355FBE" w:rsidRDefault="00355FBE" w:rsidP="005E2623">
      <w:pPr>
        <w:jc w:val="center"/>
        <w:rPr>
          <w:rFonts w:ascii="Times New Roman" w:hAnsi="Times New Roman"/>
          <w:b/>
          <w:color w:val="000000"/>
          <w:sz w:val="28"/>
          <w:szCs w:val="28"/>
        </w:rPr>
      </w:pPr>
    </w:p>
    <w:p w:rsidR="00355FBE" w:rsidRDefault="00355FBE"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355FBE" w:rsidRPr="00BF3DAB" w:rsidRDefault="00355FBE" w:rsidP="005E2623">
      <w:pPr>
        <w:jc w:val="center"/>
        <w:rPr>
          <w:rFonts w:ascii="Times New Roman" w:hAnsi="Times New Roman"/>
        </w:rPr>
      </w:pPr>
    </w:p>
    <w:p w:rsidR="00355FBE" w:rsidRPr="00BF3DAB" w:rsidRDefault="00355FBE" w:rsidP="005E2623">
      <w:pPr>
        <w:jc w:val="center"/>
        <w:rPr>
          <w:rFonts w:ascii="Times New Roman" w:hAnsi="Times New Roman"/>
          <w:sz w:val="28"/>
          <w:szCs w:val="28"/>
        </w:rPr>
      </w:pPr>
      <w:r w:rsidRPr="00BF3DAB">
        <w:rPr>
          <w:sz w:val="28"/>
          <w:szCs w:val="28"/>
        </w:rPr>
        <w:t>II</w:t>
      </w:r>
      <w:r w:rsidRPr="00BF3DAB">
        <w:t xml:space="preserve">. </w:t>
      </w:r>
      <w:r w:rsidRPr="00BF3DAB">
        <w:rPr>
          <w:rFonts w:ascii="Times New Roman" w:hAnsi="Times New Roman"/>
          <w:sz w:val="28"/>
          <w:szCs w:val="28"/>
        </w:rPr>
        <w:t>Незмінювані умови договору</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Предмет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 Майно передається в оренду для використання згідно з пунктом 7 Умов.</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Умови передачі орендованого Майна Орендарю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2.2. Передача Майна в оренду здійснюється за його страховою вартістю, визначеною у пункті 6.2 Умов.</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Орендна плата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355FBE" w:rsidRPr="00BF3DAB" w:rsidRDefault="00355FBE" w:rsidP="005E2623">
      <w:pPr>
        <w:pStyle w:val="a"/>
        <w:spacing w:line="232" w:lineRule="auto"/>
        <w:ind w:firstLine="0"/>
        <w:jc w:val="center"/>
        <w:rPr>
          <w:rFonts w:ascii="Times New Roman" w:hAnsi="Times New Roman"/>
          <w:sz w:val="28"/>
          <w:szCs w:val="28"/>
        </w:rPr>
      </w:pPr>
      <w:r w:rsidRPr="00BF3DAB">
        <w:rPr>
          <w:rFonts w:ascii="Times New Roman" w:hAnsi="Times New Roman"/>
          <w:sz w:val="28"/>
          <w:szCs w:val="28"/>
        </w:rPr>
        <w:t>Повернення Майна з оренди і забезпечувальний депозит</w:t>
      </w:r>
    </w:p>
    <w:p w:rsidR="00355FBE" w:rsidRPr="00BF3DAB" w:rsidRDefault="00355FBE" w:rsidP="005E2623">
      <w:pPr>
        <w:pStyle w:val="a"/>
        <w:spacing w:line="232" w:lineRule="auto"/>
        <w:jc w:val="both"/>
        <w:rPr>
          <w:rFonts w:ascii="Times New Roman" w:hAnsi="Times New Roman"/>
          <w:sz w:val="28"/>
          <w:szCs w:val="28"/>
        </w:rPr>
      </w:pPr>
      <w:r w:rsidRPr="00BF3DAB">
        <w:rPr>
          <w:rFonts w:ascii="Times New Roman" w:hAnsi="Times New Roman"/>
          <w:sz w:val="28"/>
          <w:szCs w:val="28"/>
        </w:rPr>
        <w:t>4.1. У разі припинення договору Орендар зобов’язаний:</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F3DAB">
        <w:rPr>
          <w:rFonts w:ascii="Times New Roman" w:hAnsi="Times New Roman"/>
          <w:sz w:val="28"/>
          <w:szCs w:val="28"/>
          <w:lang w:val="ru-RU"/>
        </w:rPr>
        <w:t>—</w:t>
      </w:r>
      <w:r w:rsidRPr="00BF3DAB">
        <w:rPr>
          <w:rFonts w:ascii="Times New Roman" w:hAnsi="Times New Roman"/>
          <w:sz w:val="28"/>
          <w:szCs w:val="28"/>
        </w:rPr>
        <w:t xml:space="preserve"> то разом із такими поліпшеннями/капітальним ремонтом;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Орендар зобов’язаний: </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звільнити Майно одночасно із поверненням підписаних Орендарем актів.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другу чергу погашаються зобов’язання Орендаря із сплати неустойки (пункт 4.4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Поліпшення і ремонт орендованого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5.1. Орендар має право: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Режим використання орендованого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6.3. </w:t>
      </w:r>
      <w:r>
        <w:rPr>
          <w:rFonts w:ascii="Times New Roman" w:hAnsi="Times New Roman"/>
          <w:sz w:val="28"/>
          <w:szCs w:val="28"/>
        </w:rPr>
        <w:t xml:space="preserve">  </w:t>
      </w:r>
      <w:r w:rsidRPr="00BF3DAB">
        <w:rPr>
          <w:rFonts w:ascii="Times New Roman" w:hAnsi="Times New Roman"/>
          <w:sz w:val="28"/>
          <w:szCs w:val="28"/>
        </w:rPr>
        <w:t>Орендар зобов’язаний:</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F3DAB">
        <w:rPr>
          <w:rFonts w:ascii="Times New Roman" w:hAnsi="Times New Roman"/>
          <w:sz w:val="28"/>
          <w:szCs w:val="28"/>
          <w:lang w:val="ru-RU"/>
        </w:rPr>
        <w:t>—</w:t>
      </w:r>
      <w:r w:rsidRPr="00BF3DAB">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підписати і повернути Балансоутримувачу примірник договору; або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355FBE" w:rsidRPr="00BF3DAB" w:rsidRDefault="00355FBE" w:rsidP="005E2623">
      <w:pPr>
        <w:pStyle w:val="a"/>
        <w:jc w:val="both"/>
        <w:rPr>
          <w:rFonts w:ascii="Times New Roman" w:hAnsi="Times New Roman"/>
          <w:sz w:val="28"/>
          <w:szCs w:val="28"/>
        </w:rPr>
      </w:pPr>
      <w:bookmarkStart w:id="1" w:name="_heading=h.1fob9te"/>
      <w:bookmarkEnd w:id="1"/>
      <w:r w:rsidRPr="00BF3DAB">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55FBE" w:rsidRPr="00BF3DAB" w:rsidRDefault="00355FBE" w:rsidP="005E2623">
      <w:pPr>
        <w:pStyle w:val="a"/>
        <w:jc w:val="center"/>
        <w:rPr>
          <w:rFonts w:ascii="Times New Roman" w:hAnsi="Times New Roman"/>
          <w:sz w:val="28"/>
          <w:szCs w:val="28"/>
        </w:rPr>
      </w:pPr>
      <w:r w:rsidRPr="00BF3DAB">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7.1. Орендар зобов’язаний:</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BF3DAB">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Оплата послуг страховика здійснюється за рахунок Орендаря (страхувальника).</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Суборенда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8.1. Орендар не має права передати Майно в суборенду. </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Запевнення сторін</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9.1. Балансоутримувач і Орендодавець запевняють Орендаря, що: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Додаткові умови 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10.1. Додаткові умови оренди відсутні.</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Відповідальність і вирішення спорів за договором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55FBE" w:rsidRPr="00BF3DAB" w:rsidRDefault="00355FBE" w:rsidP="005E2623">
      <w:pPr>
        <w:pStyle w:val="a"/>
        <w:jc w:val="center"/>
        <w:rPr>
          <w:rFonts w:ascii="Times New Roman" w:hAnsi="Times New Roman"/>
          <w:sz w:val="28"/>
          <w:szCs w:val="28"/>
        </w:rPr>
      </w:pPr>
      <w:r w:rsidRPr="00BF3DAB">
        <w:rPr>
          <w:rFonts w:ascii="Times New Roman" w:hAnsi="Times New Roman"/>
          <w:sz w:val="28"/>
          <w:szCs w:val="28"/>
        </w:rPr>
        <w:t>Строк чинності, умови зміни та припинення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 Договір припиняється: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12.6.1 з підстав, передбачених частиною першою статті 24 Закону, і при цьому: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55FBE" w:rsidRPr="00BF3DAB" w:rsidRDefault="00355FBE" w:rsidP="005E2623">
      <w:pPr>
        <w:ind w:firstLine="567"/>
        <w:jc w:val="both"/>
        <w:rPr>
          <w:rFonts w:ascii="Times New Roman" w:hAnsi="Times New Roman"/>
          <w:sz w:val="28"/>
          <w:szCs w:val="28"/>
        </w:rPr>
      </w:pPr>
      <w:r w:rsidRPr="00BF3DAB">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BF3DAB">
        <w:rPr>
          <w:rFonts w:ascii="Times New Roman" w:hAnsi="Times New Roman"/>
          <w:sz w:val="28"/>
          <w:szCs w:val="28"/>
          <w:lang w:val="en-US"/>
        </w:rPr>
        <w:t> </w:t>
      </w:r>
      <w:r w:rsidRPr="00BF3DAB">
        <w:rPr>
          <w:rFonts w:ascii="Times New Roman" w:hAnsi="Times New Roman"/>
          <w:sz w:val="28"/>
          <w:szCs w:val="28"/>
        </w:rPr>
        <w:t>— на підставі протоколу аукціону (рішення Орендодавця не вимагається);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BF3DAB">
        <w:rPr>
          <w:rFonts w:ascii="Times New Roman" w:hAnsi="Times New Roman"/>
          <w:sz w:val="22"/>
          <w:szCs w:val="22"/>
        </w:rPr>
        <w:t xml:space="preserve"> </w:t>
      </w:r>
      <w:r w:rsidRPr="00BF3DAB">
        <w:rPr>
          <w:rFonts w:ascii="Times New Roman" w:hAnsi="Times New Roman"/>
          <w:sz w:val="28"/>
          <w:szCs w:val="28"/>
        </w:rPr>
        <w:t>недостовірну інформацію про себе та/або свою діяльність.</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такому разі договір вважається припиненим: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 дати набрання законної сили рішенням суду про відмову у позові Орендаря; або</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 Договір може бути достроково припинений на вимогу Орендодавця, якщо Орендар:</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12.7.2. використовує Майно не за цільовим призначенням, визначеним у пунктах 7.1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12.7.4. уклав договір суборенди;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12.7.6. порушує додаткові умови оренди, зазначені у пункті 14 Умов (за наявності таких умов);</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 Цей договір може бути достроково припинений на вимогу Орендаря, якщо:</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55FBE" w:rsidRPr="00BF3DAB" w:rsidRDefault="00355FBE"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12.11. У разі припинення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F3DAB">
        <w:rPr>
          <w:rFonts w:ascii="Times New Roman" w:hAnsi="Times New Roman"/>
          <w:sz w:val="28"/>
          <w:szCs w:val="28"/>
          <w:lang w:val="ru-RU"/>
        </w:rPr>
        <w:t>—</w:t>
      </w:r>
      <w:r w:rsidRPr="00BF3DAB">
        <w:rPr>
          <w:rFonts w:ascii="Times New Roman" w:hAnsi="Times New Roman"/>
          <w:sz w:val="28"/>
          <w:szCs w:val="28"/>
        </w:rPr>
        <w:t xml:space="preserve"> власністю держави;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pacing w:val="-4"/>
          <w:sz w:val="28"/>
          <w:szCs w:val="28"/>
        </w:rPr>
        <w:t xml:space="preserve">12.12. Майно вважається поверненим Орендодавцю/ Балансоутримувачу </w:t>
      </w:r>
      <w:r w:rsidRPr="00BF3DAB">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Інше</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Заміна сторони Орендаря набуває чинності з дня внесення змін до цього договору.</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Заміна Орендаря інша, ніж передбачена цим пунктом, не допускається.</w:t>
      </w:r>
    </w:p>
    <w:p w:rsidR="00355FBE" w:rsidRPr="00BF3DAB" w:rsidRDefault="00355FBE" w:rsidP="005E2623">
      <w:pPr>
        <w:pStyle w:val="a"/>
        <w:jc w:val="both"/>
        <w:rPr>
          <w:rFonts w:ascii="Times New Roman" w:hAnsi="Times New Roman"/>
          <w:sz w:val="28"/>
          <w:szCs w:val="28"/>
        </w:rPr>
      </w:pPr>
      <w:r w:rsidRPr="00BF3DAB">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55FBE" w:rsidRPr="00BF3DAB" w:rsidRDefault="00355FBE" w:rsidP="005E2623">
      <w:pPr>
        <w:pStyle w:val="a"/>
        <w:ind w:firstLine="0"/>
        <w:jc w:val="center"/>
        <w:rPr>
          <w:rFonts w:ascii="Times New Roman" w:hAnsi="Times New Roman"/>
          <w:sz w:val="28"/>
          <w:szCs w:val="28"/>
        </w:rPr>
      </w:pPr>
      <w:r w:rsidRPr="00BF3DAB">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355FBE" w:rsidRPr="00BF3DAB" w:rsidTr="005E2623">
        <w:trPr>
          <w:trHeight w:val="333"/>
          <w:jc w:val="center"/>
        </w:trPr>
        <w:tc>
          <w:tcPr>
            <w:tcW w:w="4154"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Орендаря:</w:t>
            </w:r>
          </w:p>
        </w:tc>
        <w:tc>
          <w:tcPr>
            <w:tcW w:w="5286"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355FBE" w:rsidRPr="00BF3DAB" w:rsidTr="005E2623">
        <w:trPr>
          <w:trHeight w:val="315"/>
          <w:jc w:val="center"/>
        </w:trPr>
        <w:tc>
          <w:tcPr>
            <w:tcW w:w="4154"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Орендодавця:</w:t>
            </w:r>
          </w:p>
        </w:tc>
        <w:tc>
          <w:tcPr>
            <w:tcW w:w="5286"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355FBE" w:rsidRPr="00BF3DAB" w:rsidTr="005E2623">
        <w:trPr>
          <w:trHeight w:val="420"/>
          <w:jc w:val="center"/>
        </w:trPr>
        <w:tc>
          <w:tcPr>
            <w:tcW w:w="4154"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 xml:space="preserve">Від Балансоутримувача: </w:t>
            </w:r>
          </w:p>
        </w:tc>
        <w:tc>
          <w:tcPr>
            <w:tcW w:w="5286" w:type="dxa"/>
          </w:tcPr>
          <w:p w:rsidR="00355FBE" w:rsidRPr="00BF3DAB" w:rsidRDefault="00355FBE">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bl>
    <w:p w:rsidR="00355FBE" w:rsidRDefault="00355FBE" w:rsidP="005E2623">
      <w:pPr>
        <w:pStyle w:val="a"/>
        <w:ind w:firstLine="0"/>
        <w:jc w:val="center"/>
      </w:pPr>
      <w:r>
        <w:t>_____________________</w:t>
      </w:r>
    </w:p>
    <w:p w:rsidR="00355FBE" w:rsidRDefault="00355FBE" w:rsidP="005E2623">
      <w:pPr>
        <w:pStyle w:val="Heading3"/>
        <w:keepNext w:val="0"/>
        <w:widowControl w:val="0"/>
        <w:jc w:val="center"/>
        <w:rPr>
          <w:b w:val="0"/>
          <w:i/>
          <w:szCs w:val="28"/>
        </w:rPr>
      </w:pPr>
    </w:p>
    <w:p w:rsidR="00355FBE" w:rsidRDefault="00355FBE" w:rsidP="005E2623"/>
    <w:p w:rsidR="00355FBE" w:rsidRDefault="00355FBE"/>
    <w:sectPr w:rsidR="00355FBE"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272A2"/>
    <w:rsid w:val="00031611"/>
    <w:rsid w:val="00054826"/>
    <w:rsid w:val="000662F8"/>
    <w:rsid w:val="000979E2"/>
    <w:rsid w:val="000A17BB"/>
    <w:rsid w:val="000C2528"/>
    <w:rsid w:val="000D0285"/>
    <w:rsid w:val="00117E08"/>
    <w:rsid w:val="00160BB1"/>
    <w:rsid w:val="00163B4F"/>
    <w:rsid w:val="00166CA4"/>
    <w:rsid w:val="00184BEC"/>
    <w:rsid w:val="00191C31"/>
    <w:rsid w:val="001964E8"/>
    <w:rsid w:val="001B110F"/>
    <w:rsid w:val="001D1CB4"/>
    <w:rsid w:val="001E3840"/>
    <w:rsid w:val="002079F8"/>
    <w:rsid w:val="002478FD"/>
    <w:rsid w:val="002533DD"/>
    <w:rsid w:val="00255F88"/>
    <w:rsid w:val="002B2260"/>
    <w:rsid w:val="002D1C20"/>
    <w:rsid w:val="00332B1B"/>
    <w:rsid w:val="00355FBE"/>
    <w:rsid w:val="003632EA"/>
    <w:rsid w:val="00365513"/>
    <w:rsid w:val="0037375F"/>
    <w:rsid w:val="00385467"/>
    <w:rsid w:val="0039403E"/>
    <w:rsid w:val="003B2E7B"/>
    <w:rsid w:val="003B6717"/>
    <w:rsid w:val="003E4464"/>
    <w:rsid w:val="003F6D18"/>
    <w:rsid w:val="004024F5"/>
    <w:rsid w:val="00446939"/>
    <w:rsid w:val="00450170"/>
    <w:rsid w:val="00450DF9"/>
    <w:rsid w:val="0046443F"/>
    <w:rsid w:val="004A21C0"/>
    <w:rsid w:val="004C379E"/>
    <w:rsid w:val="004D1856"/>
    <w:rsid w:val="004F573A"/>
    <w:rsid w:val="00555754"/>
    <w:rsid w:val="005817BD"/>
    <w:rsid w:val="005A1138"/>
    <w:rsid w:val="005B3886"/>
    <w:rsid w:val="005E2623"/>
    <w:rsid w:val="005F0518"/>
    <w:rsid w:val="0062535E"/>
    <w:rsid w:val="00630BD3"/>
    <w:rsid w:val="00634BCA"/>
    <w:rsid w:val="00641418"/>
    <w:rsid w:val="0066682C"/>
    <w:rsid w:val="006A2A62"/>
    <w:rsid w:val="006B0C87"/>
    <w:rsid w:val="006E2BAD"/>
    <w:rsid w:val="006E7DB5"/>
    <w:rsid w:val="006F5BF1"/>
    <w:rsid w:val="00702226"/>
    <w:rsid w:val="00702B90"/>
    <w:rsid w:val="00742856"/>
    <w:rsid w:val="00743E42"/>
    <w:rsid w:val="00754DB4"/>
    <w:rsid w:val="00782388"/>
    <w:rsid w:val="007A4759"/>
    <w:rsid w:val="007D5EDE"/>
    <w:rsid w:val="008003A2"/>
    <w:rsid w:val="00833DD2"/>
    <w:rsid w:val="008404F2"/>
    <w:rsid w:val="00843D89"/>
    <w:rsid w:val="008B1502"/>
    <w:rsid w:val="008C2878"/>
    <w:rsid w:val="008F06AB"/>
    <w:rsid w:val="00937710"/>
    <w:rsid w:val="0096707E"/>
    <w:rsid w:val="00981517"/>
    <w:rsid w:val="00982F21"/>
    <w:rsid w:val="009C4D06"/>
    <w:rsid w:val="009C4F6E"/>
    <w:rsid w:val="00A06A83"/>
    <w:rsid w:val="00A078FC"/>
    <w:rsid w:val="00A33C4D"/>
    <w:rsid w:val="00A4625E"/>
    <w:rsid w:val="00A9167B"/>
    <w:rsid w:val="00AA335B"/>
    <w:rsid w:val="00AF40C2"/>
    <w:rsid w:val="00AF633A"/>
    <w:rsid w:val="00B223A6"/>
    <w:rsid w:val="00B40402"/>
    <w:rsid w:val="00B965BE"/>
    <w:rsid w:val="00BA14B5"/>
    <w:rsid w:val="00BB12C8"/>
    <w:rsid w:val="00BD2D7C"/>
    <w:rsid w:val="00BD55AF"/>
    <w:rsid w:val="00BF3DAB"/>
    <w:rsid w:val="00C354D9"/>
    <w:rsid w:val="00C42BDC"/>
    <w:rsid w:val="00C528AF"/>
    <w:rsid w:val="00C60418"/>
    <w:rsid w:val="00C726E6"/>
    <w:rsid w:val="00C902A1"/>
    <w:rsid w:val="00C903EB"/>
    <w:rsid w:val="00CA0C9A"/>
    <w:rsid w:val="00CB692A"/>
    <w:rsid w:val="00CC5823"/>
    <w:rsid w:val="00CE6D0E"/>
    <w:rsid w:val="00D113F3"/>
    <w:rsid w:val="00D151CD"/>
    <w:rsid w:val="00D16452"/>
    <w:rsid w:val="00D16E7D"/>
    <w:rsid w:val="00D2218F"/>
    <w:rsid w:val="00D27DA6"/>
    <w:rsid w:val="00D55B89"/>
    <w:rsid w:val="00D635C1"/>
    <w:rsid w:val="00D76D7B"/>
    <w:rsid w:val="00DD0121"/>
    <w:rsid w:val="00DD6EA9"/>
    <w:rsid w:val="00E07E31"/>
    <w:rsid w:val="00E23BC6"/>
    <w:rsid w:val="00E25F4F"/>
    <w:rsid w:val="00E80EFA"/>
    <w:rsid w:val="00E96D5B"/>
    <w:rsid w:val="00EB3248"/>
    <w:rsid w:val="00EB701C"/>
    <w:rsid w:val="00ED442F"/>
    <w:rsid w:val="00F03DD8"/>
    <w:rsid w:val="00F05B4D"/>
    <w:rsid w:val="00F1641B"/>
    <w:rsid w:val="00F30832"/>
    <w:rsid w:val="00F461BE"/>
    <w:rsid w:val="00F578BB"/>
    <w:rsid w:val="00F842AB"/>
    <w:rsid w:val="00FB13A3"/>
    <w:rsid w:val="00FB170D"/>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 w:type="character" w:styleId="Hyperlink">
    <w:name w:val="Hyperlink"/>
    <w:basedOn w:val="DefaultParagraphFont"/>
    <w:uiPriority w:val="99"/>
    <w:rsid w:val="00BA14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3806528">
      <w:marLeft w:val="0"/>
      <w:marRight w:val="0"/>
      <w:marTop w:val="0"/>
      <w:marBottom w:val="0"/>
      <w:divBdr>
        <w:top w:val="none" w:sz="0" w:space="0" w:color="auto"/>
        <w:left w:val="none" w:sz="0" w:space="0" w:color="auto"/>
        <w:bottom w:val="none" w:sz="0" w:space="0" w:color="auto"/>
        <w:right w:val="none" w:sz="0" w:space="0" w:color="auto"/>
      </w:divBdr>
    </w:div>
    <w:div w:id="923806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6307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4</cp:revision>
  <dcterms:created xsi:type="dcterms:W3CDTF">2021-04-21T07:24:00Z</dcterms:created>
  <dcterms:modified xsi:type="dcterms:W3CDTF">2021-04-21T12:04:00Z</dcterms:modified>
</cp:coreProperties>
</file>