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19557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19557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A85913" w:rsidRPr="0019557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AF64DE">
        <w:rPr>
          <w:rFonts w:ascii="Times New Roman" w:hAnsi="Times New Roman"/>
          <w:sz w:val="28"/>
          <w:szCs w:val="28"/>
          <w:lang w:val="uk-UA"/>
        </w:rPr>
        <w:t>104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AF64DE">
        <w:rPr>
          <w:rFonts w:ascii="Times New Roman" w:hAnsi="Times New Roman"/>
          <w:sz w:val="28"/>
          <w:szCs w:val="28"/>
          <w:lang w:val="uk-UA"/>
        </w:rPr>
        <w:t>87,3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>:</w:t>
      </w:r>
    </w:p>
    <w:p w:rsidR="00A85913" w:rsidRPr="0019557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AF64DE">
        <w:rPr>
          <w:rFonts w:ascii="Times New Roman" w:hAnsi="Times New Roman"/>
          <w:sz w:val="28"/>
          <w:szCs w:val="28"/>
          <w:lang w:val="uk-UA"/>
        </w:rPr>
        <w:t xml:space="preserve"> Дніпро, вул. Гладкова, 45</w:t>
      </w:r>
    </w:p>
    <w:p w:rsidR="002B11EE" w:rsidRPr="00195572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95572" w:rsidRDefault="007D452D" w:rsidP="00A859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195572" w:rsidRDefault="007D452D" w:rsidP="00AF64DE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AF64DE">
        <w:rPr>
          <w:rFonts w:ascii="Times New Roman" w:hAnsi="Times New Roman"/>
          <w:sz w:val="28"/>
          <w:szCs w:val="28"/>
          <w:lang w:val="uk-UA"/>
        </w:rPr>
        <w:t>104</w:t>
      </w:r>
      <w:r w:rsidR="00A85913" w:rsidRPr="00195572">
        <w:rPr>
          <w:rFonts w:ascii="Times New Roman" w:hAnsi="Times New Roman"/>
          <w:sz w:val="28"/>
          <w:szCs w:val="28"/>
          <w:lang w:val="uk-UA"/>
        </w:rPr>
        <w:t>,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AF64DE">
        <w:rPr>
          <w:rFonts w:ascii="Times New Roman" w:hAnsi="Times New Roman"/>
          <w:sz w:val="28"/>
          <w:szCs w:val="28"/>
          <w:lang w:val="uk-UA"/>
        </w:rPr>
        <w:t>87,3</w:t>
      </w:r>
      <w:r w:rsidR="00BF4146"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195572">
        <w:rPr>
          <w:rFonts w:ascii="Times New Roman" w:hAnsi="Times New Roman"/>
          <w:sz w:val="28"/>
          <w:szCs w:val="28"/>
          <w:lang w:val="uk-UA"/>
        </w:rPr>
        <w:t>к</w:t>
      </w:r>
      <w:r w:rsidR="00A85913" w:rsidRPr="0019557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A85913"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85913" w:rsidRPr="0019557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r w:rsidR="00AF64DE">
        <w:rPr>
          <w:rFonts w:ascii="Times New Roman" w:hAnsi="Times New Roman"/>
          <w:sz w:val="28"/>
          <w:szCs w:val="28"/>
          <w:lang w:val="uk-UA"/>
        </w:rPr>
        <w:t>вул. Гладкова, 45</w:t>
      </w:r>
      <w:r w:rsidR="004D5861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9557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r w:rsidR="00AF64DE">
        <w:rPr>
          <w:rFonts w:ascii="Times New Roman" w:hAnsi="Times New Roman"/>
          <w:sz w:val="28"/>
          <w:szCs w:val="28"/>
          <w:lang w:val="uk-UA"/>
        </w:rPr>
        <w:t>вул. Гладкова, 45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5861" w:rsidRPr="0019557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AF64DE">
        <w:rPr>
          <w:rFonts w:ascii="Times New Roman" w:hAnsi="Times New Roman"/>
          <w:sz w:val="28"/>
          <w:szCs w:val="28"/>
          <w:lang w:val="uk-UA"/>
        </w:rPr>
        <w:t xml:space="preserve">на першому поверсі 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житлово</w:t>
      </w:r>
      <w:r w:rsidR="00AF64DE">
        <w:rPr>
          <w:rFonts w:ascii="Times New Roman" w:hAnsi="Times New Roman"/>
          <w:sz w:val="28"/>
          <w:szCs w:val="28"/>
          <w:lang w:val="uk-UA"/>
        </w:rPr>
        <w:t>го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 будинку літ. А-</w:t>
      </w:r>
      <w:r w:rsidR="00AF64DE">
        <w:rPr>
          <w:rFonts w:ascii="Times New Roman" w:hAnsi="Times New Roman"/>
          <w:sz w:val="28"/>
          <w:szCs w:val="28"/>
          <w:lang w:val="uk-UA"/>
        </w:rPr>
        <w:t>9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 нежитлове приміщення № </w:t>
      </w:r>
      <w:r w:rsidR="00AF64DE">
        <w:rPr>
          <w:rFonts w:ascii="Times New Roman" w:hAnsi="Times New Roman"/>
          <w:sz w:val="28"/>
          <w:szCs w:val="28"/>
          <w:lang w:val="uk-UA"/>
        </w:rPr>
        <w:t>104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AF64DE">
        <w:rPr>
          <w:rFonts w:ascii="Times New Roman" w:hAnsi="Times New Roman"/>
          <w:sz w:val="28"/>
          <w:szCs w:val="28"/>
          <w:lang w:val="uk-UA"/>
        </w:rPr>
        <w:t>87,3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2FCC" w:rsidRPr="0019557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A2FCC" w:rsidRPr="00195572">
        <w:rPr>
          <w:rFonts w:ascii="Times New Roman" w:hAnsi="Times New Roman"/>
          <w:sz w:val="28"/>
          <w:szCs w:val="28"/>
          <w:lang w:val="uk-UA"/>
        </w:rPr>
        <w:t>. м, яке складається з: 1-</w:t>
      </w:r>
      <w:r w:rsidR="00AF64DE">
        <w:rPr>
          <w:rFonts w:ascii="Times New Roman" w:hAnsi="Times New Roman"/>
          <w:sz w:val="28"/>
          <w:szCs w:val="28"/>
          <w:lang w:val="uk-UA"/>
        </w:rPr>
        <w:t>коридор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>, 2,</w:t>
      </w:r>
      <w:r w:rsidR="00AF64DE">
        <w:rPr>
          <w:rFonts w:ascii="Times New Roman" w:hAnsi="Times New Roman"/>
          <w:sz w:val="28"/>
          <w:szCs w:val="28"/>
          <w:lang w:val="uk-UA"/>
        </w:rPr>
        <w:t>3,5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-приміщення, </w:t>
      </w:r>
      <w:r w:rsidR="00AF64DE">
        <w:rPr>
          <w:rFonts w:ascii="Times New Roman" w:hAnsi="Times New Roman"/>
          <w:sz w:val="28"/>
          <w:szCs w:val="28"/>
          <w:lang w:val="uk-UA"/>
        </w:rPr>
        <w:t>4-вбиральня;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AF64DE">
        <w:rPr>
          <w:rFonts w:ascii="Times New Roman" w:hAnsi="Times New Roman"/>
          <w:sz w:val="28"/>
          <w:szCs w:val="28"/>
          <w:lang w:val="uk-UA"/>
        </w:rPr>
        <w:t>9-ґанок</w:t>
      </w:r>
      <w:r w:rsidR="00BA2FCC" w:rsidRPr="001955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4DE">
        <w:rPr>
          <w:rFonts w:ascii="Times New Roman" w:hAnsi="Times New Roman"/>
          <w:sz w:val="28"/>
          <w:szCs w:val="28"/>
          <w:lang w:val="uk-UA"/>
        </w:rPr>
        <w:t xml:space="preserve"> по вул. Гладкова, 45</w:t>
      </w:r>
      <w:r w:rsidR="003B788C"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19557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3B788C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="00BF4146"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37155430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2114361712101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195572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Кадастровий номер не присвоєний</w:t>
      </w:r>
      <w:r w:rsidR="005E1FC4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95572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95572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195572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195572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об’єкта. 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</w:t>
      </w:r>
      <w:r w:rsidR="004D5861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лектронній формі буде проведено </w:t>
      </w:r>
      <w:r w:rsidR="004D5861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2B11EE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A85913"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19557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19557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AF64DE" w:rsidRPr="009A42AF" w:rsidRDefault="00AF64DE" w:rsidP="00AF64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A42AF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9A42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нежитлове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приміщення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№ 104,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загальною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площею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87,3 кв. м, на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першому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поверсі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житлового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літ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. А-9, а9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ґанок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9A42A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9A42AF">
        <w:rPr>
          <w:rFonts w:ascii="Times New Roman" w:hAnsi="Times New Roman"/>
          <w:b/>
          <w:sz w:val="28"/>
          <w:szCs w:val="28"/>
        </w:rPr>
        <w:t>. Гладкова, 45</w:t>
      </w:r>
      <w:r w:rsidRPr="009A42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42AF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здійснюється відповідно до вимог Закону України "Про приватизацію державного і комунального майна", Порядку проведення електронних аукціонів </w:t>
      </w:r>
      <w:proofErr w:type="gramStart"/>
      <w:r w:rsidRPr="009A42AF">
        <w:rPr>
          <w:rFonts w:ascii="Times New Roman" w:hAnsi="Times New Roman"/>
          <w:color w:val="000000"/>
          <w:sz w:val="28"/>
          <w:szCs w:val="28"/>
          <w:lang w:val="uk-UA"/>
        </w:rPr>
        <w:t>для продажу</w:t>
      </w:r>
      <w:proofErr w:type="gramEnd"/>
      <w:r w:rsidRPr="009A42AF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AF64DE" w:rsidRPr="00EA2610" w:rsidRDefault="00AF64DE" w:rsidP="00AF64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AF64DE" w:rsidRPr="00EA2610" w:rsidRDefault="00AF64DE" w:rsidP="00AF64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64DE" w:rsidRPr="00EA2610" w:rsidRDefault="00AF64DE" w:rsidP="00AF64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46 948,86 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23 474,43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23 474,43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F64DE" w:rsidRPr="00EA2610" w:rsidRDefault="00AF64DE" w:rsidP="00AF64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4DE" w:rsidRPr="00EA2610" w:rsidRDefault="00AF64DE" w:rsidP="00AF64D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4 694,89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2 347,45 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AF64DE" w:rsidRPr="00EA2610" w:rsidRDefault="00AF64DE" w:rsidP="00AF6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2 347,45</w:t>
      </w:r>
      <w:r w:rsidRPr="00EA261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F64DE" w:rsidRPr="00EA2610" w:rsidRDefault="00AF64DE" w:rsidP="00AF64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4DE" w:rsidRPr="00EA2610" w:rsidRDefault="00AF64DE" w:rsidP="00AF64D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610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EA26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2610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AF64DE" w:rsidRPr="00EA2610" w:rsidRDefault="00AF64DE" w:rsidP="00AF64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2610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3B788C" w:rsidRPr="00195572" w:rsidRDefault="003B788C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95572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19557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195572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19557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вул. Гладкова, 45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19557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195572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19557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9557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95572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9557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95572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9557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9557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9557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19557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090CF1">
        <w:rPr>
          <w:rFonts w:ascii="Times New Roman" w:hAnsi="Times New Roman"/>
          <w:color w:val="000000"/>
          <w:sz w:val="28"/>
          <w:szCs w:val="28"/>
          <w:lang w:val="uk-UA"/>
        </w:rPr>
        <w:t>11.02.2022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090CF1">
        <w:rPr>
          <w:rFonts w:ascii="Times New Roman" w:hAnsi="Times New Roman"/>
          <w:color w:val="000000"/>
          <w:sz w:val="28"/>
          <w:szCs w:val="28"/>
          <w:lang w:val="uk-UA"/>
        </w:rPr>
        <w:t>83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протоколу № </w:t>
      </w:r>
      <w:r w:rsidR="00AF64DE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19557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19557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 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AF64DE">
        <w:rPr>
          <w:rFonts w:ascii="Times New Roman" w:hAnsi="Times New Roman"/>
          <w:sz w:val="28"/>
          <w:szCs w:val="28"/>
          <w:lang w:val="uk-UA"/>
        </w:rPr>
        <w:t>104</w:t>
      </w:r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266A45" w:rsidRPr="001955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19557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r w:rsidR="00AF64DE">
        <w:rPr>
          <w:rFonts w:ascii="Times New Roman" w:hAnsi="Times New Roman"/>
          <w:sz w:val="28"/>
          <w:szCs w:val="28"/>
          <w:lang w:val="uk-UA"/>
        </w:rPr>
        <w:t>вул. Гладкова, 45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AF64DE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0" w:name="assetID"/>
      <w:r w:rsidR="00AF64DE" w:rsidRPr="00AF64DE">
        <w:rPr>
          <w:rFonts w:ascii="Times New Roman" w:hAnsi="Times New Roman"/>
          <w:sz w:val="28"/>
          <w:szCs w:val="28"/>
        </w:rPr>
        <w:fldChar w:fldCharType="begin"/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AF64DE" w:rsidRPr="00AF64DE">
        <w:rPr>
          <w:rFonts w:ascii="Times New Roman" w:hAnsi="Times New Roman"/>
          <w:sz w:val="28"/>
          <w:szCs w:val="28"/>
        </w:rPr>
        <w:instrText>HYPERLINK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AF64DE" w:rsidRPr="00AF64DE">
        <w:rPr>
          <w:rFonts w:ascii="Times New Roman" w:hAnsi="Times New Roman"/>
          <w:sz w:val="28"/>
          <w:szCs w:val="28"/>
        </w:rPr>
        <w:instrText>https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://</w:instrText>
      </w:r>
      <w:r w:rsidR="00AF64DE" w:rsidRPr="00AF64DE">
        <w:rPr>
          <w:rFonts w:ascii="Times New Roman" w:hAnsi="Times New Roman"/>
          <w:sz w:val="28"/>
          <w:szCs w:val="28"/>
        </w:rPr>
        <w:instrText>sale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.</w:instrText>
      </w:r>
      <w:r w:rsidR="00AF64DE" w:rsidRPr="00AF64DE">
        <w:rPr>
          <w:rFonts w:ascii="Times New Roman" w:hAnsi="Times New Roman"/>
          <w:sz w:val="28"/>
          <w:szCs w:val="28"/>
        </w:rPr>
        <w:instrText>uub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.</w:instrText>
      </w:r>
      <w:r w:rsidR="00AF64DE" w:rsidRPr="00AF64DE">
        <w:rPr>
          <w:rFonts w:ascii="Times New Roman" w:hAnsi="Times New Roman"/>
          <w:sz w:val="28"/>
          <w:szCs w:val="28"/>
        </w:rPr>
        <w:instrText>com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.</w:instrText>
      </w:r>
      <w:r w:rsidR="00AF64DE" w:rsidRPr="00AF64DE">
        <w:rPr>
          <w:rFonts w:ascii="Times New Roman" w:hAnsi="Times New Roman"/>
          <w:sz w:val="28"/>
          <w:szCs w:val="28"/>
        </w:rPr>
        <w:instrText>ua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/</w:instrText>
      </w:r>
      <w:r w:rsidR="00AF64DE" w:rsidRPr="00AF64DE">
        <w:rPr>
          <w:rFonts w:ascii="Times New Roman" w:hAnsi="Times New Roman"/>
          <w:sz w:val="28"/>
          <w:szCs w:val="28"/>
        </w:rPr>
        <w:instrText>asset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/</w:instrText>
      </w:r>
      <w:r w:rsidR="00AF64DE" w:rsidRPr="00AF64DE">
        <w:rPr>
          <w:rFonts w:ascii="Times New Roman" w:hAnsi="Times New Roman"/>
          <w:sz w:val="28"/>
          <w:szCs w:val="28"/>
        </w:rPr>
        <w:instrText>UA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-</w:instrText>
      </w:r>
      <w:r w:rsidR="00AF64DE" w:rsidRPr="00AF64DE">
        <w:rPr>
          <w:rFonts w:ascii="Times New Roman" w:hAnsi="Times New Roman"/>
          <w:sz w:val="28"/>
          <w:szCs w:val="28"/>
        </w:rPr>
        <w:instrText>AR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>-</w:instrText>
      </w:r>
      <w:r w:rsidR="00AF64DE" w:rsidRPr="00AF64DE">
        <w:rPr>
          <w:rFonts w:ascii="Times New Roman" w:hAnsi="Times New Roman"/>
          <w:sz w:val="28"/>
          <w:szCs w:val="28"/>
        </w:rPr>
        <w:instrText>P</w:instrText>
      </w:r>
      <w:r w:rsidR="00AF64DE" w:rsidRPr="00AF64DE">
        <w:rPr>
          <w:rFonts w:ascii="Times New Roman" w:hAnsi="Times New Roman"/>
          <w:sz w:val="28"/>
          <w:szCs w:val="28"/>
          <w:lang w:val="uk-UA"/>
        </w:rPr>
        <w:instrText xml:space="preserve">-2022-02-01-000019-1" </w:instrText>
      </w:r>
      <w:r w:rsidR="00AF64DE" w:rsidRPr="00AF64DE">
        <w:rPr>
          <w:rFonts w:ascii="Times New Roman" w:hAnsi="Times New Roman"/>
          <w:sz w:val="28"/>
          <w:szCs w:val="28"/>
        </w:rPr>
        <w:fldChar w:fldCharType="separate"/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AR</w:t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P</w:t>
      </w:r>
      <w:r w:rsidR="00AF64DE" w:rsidRPr="00AF64D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-2022-02-01-000019-1</w:t>
      </w:r>
      <w:r w:rsidR="00AF64DE" w:rsidRPr="00AF64DE">
        <w:rPr>
          <w:rFonts w:ascii="Times New Roman" w:hAnsi="Times New Roman"/>
          <w:sz w:val="28"/>
          <w:szCs w:val="28"/>
        </w:rPr>
        <w:fldChar w:fldCharType="end"/>
      </w:r>
      <w:bookmarkEnd w:id="0"/>
      <w:r w:rsidR="002B11EE" w:rsidRPr="00AF64DE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090CF1">
        <w:rPr>
          <w:rFonts w:ascii="Times New Roman" w:hAnsi="Times New Roman"/>
          <w:color w:val="000000"/>
          <w:sz w:val="28"/>
          <w:szCs w:val="28"/>
          <w:lang w:val="uk-UA"/>
        </w:rPr>
        <w:t>469,49</w:t>
      </w:r>
      <w:r w:rsidR="00382B4E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090CF1">
        <w:rPr>
          <w:rFonts w:ascii="Times New Roman" w:hAnsi="Times New Roman"/>
          <w:color w:val="000000"/>
          <w:sz w:val="28"/>
          <w:szCs w:val="28"/>
          <w:lang w:val="uk-UA"/>
        </w:rPr>
        <w:t>234,75</w:t>
      </w:r>
      <w:r w:rsidR="004D390A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9557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090CF1">
        <w:rPr>
          <w:rFonts w:ascii="Times New Roman" w:hAnsi="Times New Roman"/>
          <w:color w:val="000000"/>
          <w:sz w:val="28"/>
          <w:szCs w:val="28"/>
          <w:lang w:val="uk-UA"/>
        </w:rPr>
        <w:t>234,75</w:t>
      </w:r>
      <w:r w:rsidR="004D390A"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195572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9557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955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195572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95572" w:rsidRDefault="007D452D" w:rsidP="00B96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57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bookmarkStart w:id="1" w:name="_GoBack"/>
      <w:bookmarkEnd w:id="1"/>
    </w:p>
    <w:sectPr w:rsidR="007D452D" w:rsidRPr="00195572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71994"/>
    <w:rsid w:val="00090CF1"/>
    <w:rsid w:val="000C6E32"/>
    <w:rsid w:val="000D58CB"/>
    <w:rsid w:val="000F1FA9"/>
    <w:rsid w:val="00106AD8"/>
    <w:rsid w:val="00110214"/>
    <w:rsid w:val="00120208"/>
    <w:rsid w:val="00184D5B"/>
    <w:rsid w:val="00192A00"/>
    <w:rsid w:val="00195572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D5861"/>
    <w:rsid w:val="004E13E4"/>
    <w:rsid w:val="004E429D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13BD3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C182B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332A8"/>
    <w:rsid w:val="00A43916"/>
    <w:rsid w:val="00A44F77"/>
    <w:rsid w:val="00A85913"/>
    <w:rsid w:val="00AA4BCF"/>
    <w:rsid w:val="00AA696F"/>
    <w:rsid w:val="00AB0176"/>
    <w:rsid w:val="00AC372D"/>
    <w:rsid w:val="00AF056B"/>
    <w:rsid w:val="00AF4EEE"/>
    <w:rsid w:val="00AF64DE"/>
    <w:rsid w:val="00B300BD"/>
    <w:rsid w:val="00B94C43"/>
    <w:rsid w:val="00B9636E"/>
    <w:rsid w:val="00BA285C"/>
    <w:rsid w:val="00BA2FC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6738"/>
    <w:rsid w:val="00D02B29"/>
    <w:rsid w:val="00D17C4D"/>
    <w:rsid w:val="00D30F63"/>
    <w:rsid w:val="00D50DE5"/>
    <w:rsid w:val="00D61917"/>
    <w:rsid w:val="00D80BF8"/>
    <w:rsid w:val="00DA3D8C"/>
    <w:rsid w:val="00DC098A"/>
    <w:rsid w:val="00DC3982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6EF2-59B7-498B-ABC1-D568AB40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82</cp:revision>
  <cp:lastPrinted>2022-02-15T08:57:00Z</cp:lastPrinted>
  <dcterms:created xsi:type="dcterms:W3CDTF">2018-10-02T14:02:00Z</dcterms:created>
  <dcterms:modified xsi:type="dcterms:W3CDTF">2022-02-15T14:59:00Z</dcterms:modified>
</cp:coreProperties>
</file>