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CC1F9F" w:rsidRPr="00280445" w:rsidTr="004C749A">
        <w:trPr>
          <w:cantSplit/>
          <w:trHeight w:val="2122"/>
        </w:trPr>
        <w:tc>
          <w:tcPr>
            <w:tcW w:w="6451" w:type="dxa"/>
          </w:tcPr>
          <w:p w:rsidR="00CC1F9F" w:rsidRPr="00492382" w:rsidRDefault="00CC1F9F" w:rsidP="00CC1F9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CC1F9F" w:rsidRDefault="00CC1F9F" w:rsidP="00CC1F9F">
            <w:pPr>
              <w:pStyle w:val="a3"/>
              <w:ind w:firstLine="567"/>
              <w:rPr>
                <w:szCs w:val="24"/>
              </w:rPr>
            </w:pPr>
            <w:r w:rsidRPr="008A1A9A">
              <w:rPr>
                <w:color w:val="000000"/>
              </w:rPr>
              <w:t xml:space="preserve">Умовою продажу даного об’єкта є 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CC1F9F" w:rsidRDefault="00CC1F9F" w:rsidP="00CC1F9F">
            <w:pPr>
              <w:pStyle w:val="a3"/>
              <w:ind w:firstLine="567"/>
              <w:rPr>
                <w:szCs w:val="24"/>
              </w:rPr>
            </w:pPr>
            <w:bookmarkStart w:id="0" w:name="_Hlk71702781"/>
            <w:r>
              <w:rPr>
                <w:szCs w:val="24"/>
              </w:rPr>
              <w:t>Використання земельної ділянки за призначенням.</w:t>
            </w:r>
          </w:p>
          <w:bookmarkEnd w:id="0"/>
          <w:p w:rsidR="00CC1F9F" w:rsidRPr="00AC6071" w:rsidRDefault="00CC1F9F" w:rsidP="00CC1F9F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CC1F9F" w:rsidRPr="00AC6071" w:rsidRDefault="00CC1F9F" w:rsidP="00CC1F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CC1F9F" w:rsidRPr="00AC6071" w:rsidRDefault="00CC1F9F" w:rsidP="00CC1F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CC1F9F" w:rsidRPr="00824AD8" w:rsidRDefault="00CC1F9F" w:rsidP="00CC1F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Протягом 30 (тридцяти) календарних днів від дати державної реєстрації права власності на об’єкт приватизації укласти охоронний </w:t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7120A4" w:rsidRPr="00280445" w:rsidTr="004C749A">
        <w:trPr>
          <w:cantSplit/>
          <w:trHeight w:val="1005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 укладанні договору купівлі</w:t>
            </w:r>
            <w:r w:rsidR="00CC1F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– 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CC1F9F" w:rsidRDefault="007120A4">
      <w:bookmarkStart w:id="1" w:name="_GoBack"/>
      <w:bookmarkEnd w:id="1"/>
    </w:p>
    <w:sectPr w:rsidR="007120A4" w:rsidRPr="00CC1F9F" w:rsidSect="00CC1F9F">
      <w:pgSz w:w="16838" w:h="11906" w:orient="landscape"/>
      <w:pgMar w:top="851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13248C"/>
    <w:rsid w:val="00295E59"/>
    <w:rsid w:val="007120A4"/>
    <w:rsid w:val="00CC1F9F"/>
    <w:rsid w:val="00C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C92F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1F9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1F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2021-08-02T09:11:00Z</dcterms:created>
  <dcterms:modified xsi:type="dcterms:W3CDTF">2021-08-02T09:13:00Z</dcterms:modified>
</cp:coreProperties>
</file>