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06256D">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sidR="0006256D">
        <w:rPr>
          <w:rFonts w:ascii="Times New Roman" w:hAnsi="Times New Roman" w:cs="Times New Roman"/>
          <w:shd w:val="clear" w:color="auto" w:fill="FFFFFF"/>
          <w:lang w:val="uk-UA" w:eastAsia="en-US"/>
        </w:rPr>
        <w:t xml:space="preserve"> з можлив</w:t>
      </w:r>
      <w:r>
        <w:rPr>
          <w:rFonts w:ascii="Times New Roman" w:hAnsi="Times New Roman" w:cs="Times New Roman"/>
          <w:shd w:val="clear" w:color="auto" w:fill="FFFFFF"/>
          <w:lang w:val="uk-UA" w:eastAsia="en-US"/>
        </w:rPr>
        <w:t>і</w:t>
      </w:r>
      <w:r w:rsidR="0006256D">
        <w:rPr>
          <w:rFonts w:ascii="Times New Roman" w:hAnsi="Times New Roman" w:cs="Times New Roman"/>
          <w:shd w:val="clear" w:color="auto" w:fill="FFFFFF"/>
          <w:lang w:val="uk-UA" w:eastAsia="en-US"/>
        </w:rPr>
        <w:t>стю</w:t>
      </w:r>
      <w:r>
        <w:rPr>
          <w:rFonts w:ascii="Times New Roman" w:hAnsi="Times New Roman" w:cs="Times New Roman"/>
          <w:shd w:val="clear" w:color="auto" w:fill="FFFFFF"/>
          <w:lang w:val="uk-UA" w:eastAsia="en-US"/>
        </w:rPr>
        <w:t xml:space="preserve"> зниження початкової ціни.</w:t>
      </w:r>
    </w:p>
    <w:p w:rsidR="00BF0527" w:rsidRDefault="00183079" w:rsidP="00FF7978">
      <w:pPr>
        <w:spacing w:line="256" w:lineRule="auto"/>
        <w:jc w:val="both"/>
        <w:rPr>
          <w:lang w:val="uk-UA"/>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BF0527">
          <w:rPr>
            <w:rStyle w:val="a3"/>
          </w:rPr>
          <w:t>https://prozorro.sale/auction/UA-PS-2020-06-19-000070-2</w:t>
        </w:r>
      </w:hyperlink>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256D"/>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4E0"/>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7B6"/>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6F38"/>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0EB"/>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0527"/>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6-19-0000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14</cp:revision>
  <cp:lastPrinted>2020-05-19T06:35:00Z</cp:lastPrinted>
  <dcterms:created xsi:type="dcterms:W3CDTF">2020-05-19T05:53:00Z</dcterms:created>
  <dcterms:modified xsi:type="dcterms:W3CDTF">2020-07-09T10:03:00Z</dcterms:modified>
</cp:coreProperties>
</file>