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54" w:rsidRPr="005F10CC" w:rsidRDefault="00097354" w:rsidP="00097354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5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097354" w:rsidRPr="00A05018" w:rsidRDefault="00097354" w:rsidP="00097354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72377C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>скликання від 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>.12.201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1381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>/1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приватизацію об’єктів 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>комунальної власності територіальної громади м.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A05018">
        <w:rPr>
          <w:rFonts w:ascii="Times New Roman" w:hAnsi="Times New Roman" w:cs="Times New Roman"/>
          <w:bCs/>
          <w:sz w:val="24"/>
          <w:szCs w:val="24"/>
          <w:lang w:val="uk-UA"/>
        </w:rPr>
        <w:t>Харкова»</w:t>
      </w:r>
    </w:p>
    <w:p w:rsidR="00097354" w:rsidRDefault="00097354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нежитлових приміщень загальною площею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107,8 кв.м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</w:t>
      </w:r>
    </w:p>
    <w:p w:rsidR="00A00A68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які розташовані за адресою: м. Харків, вул. Ашгабатська, 10</w:t>
      </w:r>
    </w:p>
    <w:p w:rsidR="00E03F55" w:rsidRDefault="00E03F55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274CFC" w:rsidRPr="00E03F55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lang w:val="uk-UA" w:eastAsia="ru-RU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387"/>
        <w:gridCol w:w="10064"/>
      </w:tblGrid>
      <w:tr w:rsidR="000D744A" w:rsidRPr="003274B1" w:rsidTr="00D43DCE">
        <w:trPr>
          <w:cantSplit/>
        </w:trPr>
        <w:tc>
          <w:tcPr>
            <w:tcW w:w="5387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D43DCE">
        <w:trPr>
          <w:cantSplit/>
        </w:trPr>
        <w:tc>
          <w:tcPr>
            <w:tcW w:w="5387" w:type="dxa"/>
          </w:tcPr>
          <w:p w:rsidR="004B34A9" w:rsidRPr="003274B1" w:rsidRDefault="004B34A9" w:rsidP="00075814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7741C3" w:rsidRPr="007741C3" w:rsidRDefault="007741C3" w:rsidP="007741C3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Нежитлові приміщення 1-го поверху №10-:-18, 27-:-33, 34а загальною площею 107,8 кв.м в житловому будинку літ. «А-4», які розташовані за адресою: м. Харків, вул. Ашгабатська, 10 складаються з двох окремих частин: приміщення №10-:-18 у лівій частині будівлі та приміщення № 27-:-33, 34а у правій частині будівлі. У кожну з частин приміщень маються окремі входи.</w:t>
            </w:r>
          </w:p>
          <w:p w:rsidR="007741C3" w:rsidRPr="007741C3" w:rsidRDefault="007741C3" w:rsidP="007741C3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Рік побудови – 1954. Технічний стан нежитлових приміщень №10-:-18 – незадовільний, залиті каналізаційними стоками, нежитлових приміщень                         № 27-:-33, 34а – задовільний. </w:t>
            </w:r>
          </w:p>
          <w:p w:rsidR="007741C3" w:rsidRPr="007741C3" w:rsidRDefault="00550618" w:rsidP="007741C3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ежитлов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обладнані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освітлення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централізован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им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опалення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водопостачання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каналізаці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єю</w:t>
            </w:r>
            <w:r w:rsidR="007741C3" w:rsidRPr="0077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Освітлення, водопостачання, каналізація знаходяться в незадовільному стані та потребують проведення ремонтних робіт.</w:t>
            </w:r>
          </w:p>
          <w:p w:rsidR="00D43DCE" w:rsidRPr="00D43DCE" w:rsidRDefault="006904F0" w:rsidP="007741C3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3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Нежитлові приміщення </w:t>
            </w:r>
            <w:r w:rsidR="00D43DCE" w:rsidRPr="00D43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відображаються на обліку Управління комунального майна та приватизації.</w:t>
            </w:r>
          </w:p>
          <w:p w:rsidR="00D43DCE" w:rsidRPr="00D43DCE" w:rsidRDefault="00D43DCE" w:rsidP="007741C3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3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 власності зареєстровано 03.06.2015, реєстраційний номер 682507563101.</w:t>
            </w:r>
          </w:p>
          <w:p w:rsidR="00565343" w:rsidRPr="003274B1" w:rsidRDefault="00D43DCE" w:rsidP="007741C3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3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остаточну ціну продажу об’єкта нараховується ПДВ.</w:t>
            </w:r>
          </w:p>
        </w:tc>
      </w:tr>
      <w:tr w:rsidR="004B34A9" w:rsidRPr="003274B1" w:rsidTr="00D43DCE">
        <w:trPr>
          <w:cantSplit/>
        </w:trPr>
        <w:tc>
          <w:tcPr>
            <w:tcW w:w="5387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4B34A9" w:rsidRPr="003274B1" w:rsidRDefault="00455D31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6E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Зазначені нежитлові приміщення є вільними, в оренду не передані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D43DCE">
        <w:trPr>
          <w:cantSplit/>
        </w:trPr>
        <w:tc>
          <w:tcPr>
            <w:tcW w:w="5387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4B34A9" w:rsidRPr="00455D31" w:rsidRDefault="00455D31" w:rsidP="00E03F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vpfv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.10@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gmail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4B34A9" w:rsidRPr="003274B1" w:rsidTr="00D43DCE">
        <w:trPr>
          <w:cantSplit/>
          <w:trHeight w:val="774"/>
        </w:trPr>
        <w:tc>
          <w:tcPr>
            <w:tcW w:w="5387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10064" w:type="dxa"/>
          </w:tcPr>
          <w:p w:rsidR="004B34A9" w:rsidRPr="003274B1" w:rsidRDefault="00015CA0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сканкопія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технічного паспорту, виготовленого КП «Харківське міське бюро технічної інвентаризації» станом на 05.12.2018</w:t>
            </w:r>
          </w:p>
        </w:tc>
      </w:tr>
      <w:tr w:rsidR="00FF55BC" w:rsidRPr="003274B1" w:rsidTr="00D43DCE">
        <w:trPr>
          <w:cantSplit/>
        </w:trPr>
        <w:tc>
          <w:tcPr>
            <w:tcW w:w="5387" w:type="dxa"/>
          </w:tcPr>
          <w:p w:rsidR="001A4A69" w:rsidRPr="003274B1" w:rsidRDefault="00FF55BC" w:rsidP="00E03F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D43DCE">
        <w:trPr>
          <w:cantSplit/>
        </w:trPr>
        <w:tc>
          <w:tcPr>
            <w:tcW w:w="53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09006C">
        <w:trPr>
          <w:cantSplit/>
          <w:trHeight w:val="3206"/>
        </w:trPr>
        <w:tc>
          <w:tcPr>
            <w:tcW w:w="5387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72377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29</w:t>
            </w:r>
            <w:r w:rsidR="007741C3" w:rsidRPr="007741C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9735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квітня</w:t>
            </w:r>
            <w:r w:rsidR="007741C3" w:rsidRPr="007741C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741C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 w:rsidR="0009735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 w:rsidR="0072377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(двадцять дев’ятого квітня дві тисячі двадцятого року)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D43DCE">
        <w:trPr>
          <w:cantSplit/>
        </w:trPr>
        <w:tc>
          <w:tcPr>
            <w:tcW w:w="5387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015CA0" w:rsidRDefault="0065724A" w:rsidP="00075814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Період між аукціоном без умов</w:t>
            </w:r>
            <w:r w:rsidR="00E03F5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="00E03F55"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="00E03F55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03F5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D43DCE">
        <w:trPr>
          <w:cantSplit/>
        </w:trPr>
        <w:tc>
          <w:tcPr>
            <w:tcW w:w="53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</w:t>
            </w:r>
            <w:r w:rsidRPr="007D437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455D31" w:rsidRPr="00075261" w:rsidRDefault="00455D31" w:rsidP="00455D31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</w:t>
            </w:r>
            <w:r w:rsidR="007D437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55D31" w:rsidRPr="003274B1" w:rsidTr="00D43DCE">
        <w:trPr>
          <w:cantSplit/>
        </w:trPr>
        <w:tc>
          <w:tcPr>
            <w:tcW w:w="53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D43DCE">
        <w:trPr>
          <w:cantSplit/>
        </w:trPr>
        <w:tc>
          <w:tcPr>
            <w:tcW w:w="5387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10064" w:type="dxa"/>
          </w:tcPr>
          <w:p w:rsidR="00455D31" w:rsidRPr="00455D31" w:rsidRDefault="00455D31" w:rsidP="00075814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bookmarkStart w:id="0" w:name="_GoBack"/>
            <w:r w:rsidRPr="00455D31">
              <w:rPr>
                <w:color w:val="000000"/>
                <w:szCs w:val="28"/>
              </w:rPr>
              <w:t>2</w:t>
            </w:r>
            <w:r w:rsidR="00E03F55">
              <w:rPr>
                <w:color w:val="000000"/>
                <w:szCs w:val="28"/>
              </w:rPr>
              <w:t>46</w:t>
            </w:r>
            <w:r w:rsidRPr="00455D31">
              <w:rPr>
                <w:color w:val="000000"/>
                <w:szCs w:val="28"/>
              </w:rPr>
              <w:t> </w:t>
            </w:r>
            <w:r w:rsidR="00E03F55">
              <w:rPr>
                <w:color w:val="000000"/>
                <w:szCs w:val="28"/>
              </w:rPr>
              <w:t>2</w:t>
            </w:r>
            <w:r w:rsidR="0072377C">
              <w:rPr>
                <w:color w:val="000000"/>
                <w:szCs w:val="28"/>
              </w:rPr>
              <w:t>3</w:t>
            </w:r>
            <w:r w:rsidRPr="00455D31">
              <w:rPr>
                <w:color w:val="000000"/>
                <w:szCs w:val="28"/>
              </w:rPr>
              <w:t>0</w:t>
            </w:r>
            <w:bookmarkEnd w:id="0"/>
            <w:r w:rsidRPr="00455D31">
              <w:rPr>
                <w:color w:val="000000"/>
                <w:szCs w:val="28"/>
              </w:rPr>
              <w:t xml:space="preserve">,00 </w:t>
            </w:r>
            <w:r w:rsidR="00F0181A">
              <w:rPr>
                <w:color w:val="000000"/>
                <w:szCs w:val="28"/>
              </w:rPr>
              <w:t>грн</w:t>
            </w:r>
            <w:r w:rsidRPr="00455D31">
              <w:rPr>
                <w:color w:val="000000"/>
                <w:szCs w:val="28"/>
              </w:rPr>
              <w:t xml:space="preserve"> без ПДВ</w:t>
            </w:r>
          </w:p>
        </w:tc>
      </w:tr>
      <w:tr w:rsidR="00455D31" w:rsidRPr="003274B1" w:rsidTr="00D43DCE">
        <w:trPr>
          <w:cantSplit/>
        </w:trPr>
        <w:tc>
          <w:tcPr>
            <w:tcW w:w="5387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455D31" w:rsidRDefault="00455D31" w:rsidP="00455D31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72377C">
              <w:rPr>
                <w:color w:val="000000"/>
                <w:szCs w:val="28"/>
              </w:rPr>
              <w:t xml:space="preserve">123 115,00 </w:t>
            </w:r>
            <w:r w:rsidR="00F0181A">
              <w:rPr>
                <w:color w:val="000000"/>
                <w:szCs w:val="28"/>
              </w:rPr>
              <w:t>грн</w:t>
            </w:r>
            <w:r>
              <w:rPr>
                <w:color w:val="000000"/>
                <w:szCs w:val="28"/>
              </w:rPr>
              <w:t xml:space="preserve"> без ПДВ.</w:t>
            </w:r>
          </w:p>
        </w:tc>
      </w:tr>
      <w:tr w:rsidR="00455D31" w:rsidRPr="003274B1" w:rsidTr="00D43DCE">
        <w:trPr>
          <w:cantSplit/>
        </w:trPr>
        <w:tc>
          <w:tcPr>
            <w:tcW w:w="5387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72377C">
              <w:rPr>
                <w:color w:val="000000"/>
                <w:szCs w:val="28"/>
              </w:rPr>
              <w:t xml:space="preserve">123 115,00 </w:t>
            </w:r>
            <w:r w:rsidR="00F0181A">
              <w:rPr>
                <w:color w:val="000000"/>
                <w:szCs w:val="28"/>
              </w:rPr>
              <w:t>грн</w:t>
            </w:r>
            <w:r w:rsidR="00DD5655">
              <w:rPr>
                <w:color w:val="000000"/>
                <w:szCs w:val="28"/>
              </w:rPr>
              <w:t xml:space="preserve"> без ПДВ.</w:t>
            </w:r>
          </w:p>
        </w:tc>
      </w:tr>
      <w:tr w:rsidR="00DD5655" w:rsidRPr="003274B1" w:rsidTr="00D43DCE">
        <w:trPr>
          <w:cantSplit/>
        </w:trPr>
        <w:tc>
          <w:tcPr>
            <w:tcW w:w="5387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D5655" w:rsidRDefault="00DD5655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</w:t>
            </w:r>
            <w:r w:rsidRPr="00FE348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єкта приватизації з покупцем на ціну продажу об</w:t>
            </w:r>
            <w:r w:rsidRPr="00FE348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єкта нараховується ПДВ (податок на додану вартість) у розмірі 20 </w:t>
            </w:r>
            <w:r w:rsidR="000758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(двадцяти)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відсотків </w:t>
            </w:r>
          </w:p>
        </w:tc>
      </w:tr>
      <w:tr w:rsidR="009A48BF" w:rsidRPr="003274B1" w:rsidTr="00E03F55">
        <w:trPr>
          <w:cantSplit/>
          <w:trHeight w:val="796"/>
        </w:trPr>
        <w:tc>
          <w:tcPr>
            <w:tcW w:w="5387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7741C3" w:rsidRPr="00DD5655" w:rsidRDefault="007741C3" w:rsidP="00E03F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10064" w:type="dxa"/>
          </w:tcPr>
          <w:p w:rsidR="009A48BF" w:rsidRPr="003274B1" w:rsidRDefault="009A48BF" w:rsidP="00E03F55">
            <w:pPr>
              <w:pStyle w:val="a8"/>
              <w:ind w:firstLine="31"/>
              <w:rPr>
                <w:color w:val="000000"/>
                <w:szCs w:val="28"/>
              </w:rPr>
            </w:pPr>
            <w:r w:rsidRPr="00455D31">
              <w:lastRenderedPageBreak/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72377C" w:rsidRPr="00116AE0">
              <w:rPr>
                <w:color w:val="000000"/>
                <w:szCs w:val="28"/>
              </w:rPr>
              <w:t xml:space="preserve">24 623,00 </w:t>
            </w:r>
            <w:r w:rsidR="00F0181A">
              <w:t>грн</w:t>
            </w:r>
            <w:r w:rsidRPr="009A48BF">
              <w:t xml:space="preserve">  </w:t>
            </w:r>
          </w:p>
        </w:tc>
      </w:tr>
      <w:tr w:rsidR="00DD5655" w:rsidRPr="003274B1" w:rsidTr="00D43DCE">
        <w:trPr>
          <w:cantSplit/>
        </w:trPr>
        <w:tc>
          <w:tcPr>
            <w:tcW w:w="5387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DD5655" w:rsidRPr="00DD5655" w:rsidRDefault="00DD5655" w:rsidP="00E03F55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72377C">
              <w:rPr>
                <w:color w:val="000000"/>
                <w:szCs w:val="28"/>
              </w:rPr>
              <w:t>12 </w:t>
            </w:r>
            <w:r w:rsidR="0072377C">
              <w:rPr>
                <w:color w:val="000000"/>
                <w:szCs w:val="28"/>
                <w:lang w:val="ru-RU"/>
              </w:rPr>
              <w:t xml:space="preserve">311,50 </w:t>
            </w:r>
            <w:proofErr w:type="spellStart"/>
            <w:r w:rsidR="00F0181A">
              <w:rPr>
                <w:color w:val="000000"/>
                <w:szCs w:val="28"/>
                <w:lang w:val="ru-RU"/>
              </w:rPr>
              <w:t>грн</w:t>
            </w:r>
            <w:proofErr w:type="spellEnd"/>
          </w:p>
        </w:tc>
      </w:tr>
      <w:tr w:rsidR="00DD5655" w:rsidRPr="003274B1" w:rsidTr="00D43DCE">
        <w:trPr>
          <w:cantSplit/>
        </w:trPr>
        <w:tc>
          <w:tcPr>
            <w:tcW w:w="5387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DD5655" w:rsidRPr="0009006C" w:rsidRDefault="00DD5655" w:rsidP="0009006C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72377C">
              <w:rPr>
                <w:color w:val="000000"/>
                <w:szCs w:val="28"/>
              </w:rPr>
              <w:t>12 </w:t>
            </w:r>
            <w:r w:rsidR="0072377C">
              <w:rPr>
                <w:color w:val="000000"/>
                <w:szCs w:val="28"/>
                <w:lang w:val="ru-RU"/>
              </w:rPr>
              <w:t xml:space="preserve">311,50 </w:t>
            </w:r>
            <w:proofErr w:type="spellStart"/>
            <w:r w:rsidR="00F0181A">
              <w:rPr>
                <w:color w:val="000000"/>
                <w:szCs w:val="28"/>
                <w:lang w:val="ru-RU"/>
              </w:rPr>
              <w:t>грн</w:t>
            </w:r>
            <w:proofErr w:type="spellEnd"/>
          </w:p>
        </w:tc>
      </w:tr>
      <w:tr w:rsidR="00DD5655" w:rsidRPr="003274B1" w:rsidTr="0009006C">
        <w:trPr>
          <w:cantSplit/>
          <w:trHeight w:val="490"/>
        </w:trPr>
        <w:tc>
          <w:tcPr>
            <w:tcW w:w="5387" w:type="dxa"/>
          </w:tcPr>
          <w:p w:rsidR="00075814" w:rsidRPr="0009006C" w:rsidRDefault="00DD5655" w:rsidP="00E03F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1" w:name="n102"/>
            <w:bookmarkEnd w:id="1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10064" w:type="dxa"/>
          </w:tcPr>
          <w:p w:rsidR="00DD5655" w:rsidRPr="003274B1" w:rsidRDefault="00E03F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66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944,60 </w:t>
            </w:r>
            <w:r w:rsidR="00F018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DD5655" w:rsidRPr="003274B1" w:rsidTr="00D43DCE">
        <w:trPr>
          <w:cantSplit/>
        </w:trPr>
        <w:tc>
          <w:tcPr>
            <w:tcW w:w="5387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3F55" w:rsidRPr="00A512B2" w:rsidTr="00D43DCE">
        <w:trPr>
          <w:cantSplit/>
        </w:trPr>
        <w:tc>
          <w:tcPr>
            <w:tcW w:w="5387" w:type="dxa"/>
          </w:tcPr>
          <w:p w:rsidR="00E03F55" w:rsidRPr="003274B1" w:rsidRDefault="00E03F55" w:rsidP="00E03F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10064" w:type="dxa"/>
          </w:tcPr>
          <w:p w:rsidR="00E03F55" w:rsidRPr="00A02E59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E03F55" w:rsidRPr="00A02E59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E03F55" w:rsidRPr="00A02E59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E03F55" w:rsidRPr="00A02E59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E03F55" w:rsidRPr="00A02E59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E03F55" w:rsidRPr="00A02E59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E03F55" w:rsidRPr="00AC04BC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E03F55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E03F55" w:rsidRPr="00AC04BC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E03F55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E03F55" w:rsidRPr="00AC04BC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E03F55" w:rsidRPr="00A02E59" w:rsidRDefault="00E03F55" w:rsidP="00E03F5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4350E7" w:rsidRPr="00A512B2" w:rsidTr="00D43DCE">
        <w:trPr>
          <w:cantSplit/>
        </w:trPr>
        <w:tc>
          <w:tcPr>
            <w:tcW w:w="53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4350E7" w:rsidRPr="005E4066" w:rsidRDefault="009571EB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9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A512B2">
        <w:trPr>
          <w:cantSplit/>
          <w:trHeight w:val="3198"/>
        </w:trPr>
        <w:tc>
          <w:tcPr>
            <w:tcW w:w="53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4350E7" w:rsidRPr="001E1427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vpfv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.10@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gmail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4350E7" w:rsidRPr="00DD5655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B16" w:rsidRPr="003274B1" w:rsidTr="00D43DCE">
        <w:trPr>
          <w:cantSplit/>
        </w:trPr>
        <w:tc>
          <w:tcPr>
            <w:tcW w:w="5387" w:type="dxa"/>
          </w:tcPr>
          <w:p w:rsidR="006D2B16" w:rsidRPr="00776EA9" w:rsidRDefault="006D2B16" w:rsidP="006D2B1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6D2B16" w:rsidRDefault="006D2B16" w:rsidP="006D2B16">
            <w:pPr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</w:t>
            </w:r>
            <w:r w:rsidR="00A51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авірусної</w:t>
            </w:r>
            <w:proofErr w:type="spellEnd"/>
            <w:r w:rsidR="00A51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об’єкта</w:t>
            </w: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2B16" w:rsidRPr="00492382" w:rsidRDefault="006D2B16" w:rsidP="006D2B16">
            <w:pPr>
              <w:ind w:firstLine="34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4350E7" w:rsidRPr="003274B1" w:rsidTr="00D43DCE">
        <w:trPr>
          <w:cantSplit/>
        </w:trPr>
        <w:tc>
          <w:tcPr>
            <w:tcW w:w="53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A512B2" w:rsidTr="00D43DCE">
        <w:trPr>
          <w:cantSplit/>
        </w:trPr>
        <w:tc>
          <w:tcPr>
            <w:tcW w:w="53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4350E7" w:rsidRPr="008A020E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6572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F92A50"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6572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F92A50"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.2</w:t>
            </w:r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03F5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8A020E"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09006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134</w:t>
            </w:r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2" w:name="_Hlk511746647"/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745E9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 w:rsidR="0000420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30.03.</w:t>
            </w:r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03F5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2"/>
            <w:r w:rsidRPr="008A02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без умов на підставі рішення 24 сесії Харківської міської ради 7 скликання «Про приватизацію об’єктів комунальної власності територіальної громади м. Харкова» від 19.12.2018 №1381/18»</w:t>
            </w:r>
          </w:p>
        </w:tc>
      </w:tr>
      <w:tr w:rsidR="004350E7" w:rsidRPr="003274B1" w:rsidTr="00D43DCE">
        <w:trPr>
          <w:cantSplit/>
        </w:trPr>
        <w:tc>
          <w:tcPr>
            <w:tcW w:w="5387" w:type="dxa"/>
          </w:tcPr>
          <w:p w:rsidR="00F92A50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3" w:name="assetID"/>
        <w:tc>
          <w:tcPr>
            <w:tcW w:w="10064" w:type="dxa"/>
          </w:tcPr>
          <w:p w:rsidR="004350E7" w:rsidRPr="00B33814" w:rsidRDefault="00D72BC8" w:rsidP="004350E7">
            <w:pPr>
              <w:spacing w:after="150"/>
              <w:jc w:val="both"/>
            </w:pPr>
            <w:r w:rsidRPr="007D4377">
              <w:fldChar w:fldCharType="begin"/>
            </w:r>
            <w:r w:rsidR="004350E7" w:rsidRPr="007D4377">
              <w:instrText xml:space="preserve"> HYPERLINK "https://sale.uub.com.ua/asset/UA-AR-P-2018-12-22-000004-3" </w:instrText>
            </w:r>
            <w:r w:rsidRPr="007D4377">
              <w:fldChar w:fldCharType="separate"/>
            </w:r>
            <w:r w:rsidR="004350E7" w:rsidRPr="007D4377">
              <w:rPr>
                <w:rStyle w:val="a7"/>
                <w:rFonts w:ascii="Arial" w:hAnsi="Arial" w:cs="Arial"/>
              </w:rPr>
              <w:t>UA-AR-P-2018-12-22-000004-3</w:t>
            </w:r>
            <w:r w:rsidRPr="007D4377">
              <w:fldChar w:fldCharType="end"/>
            </w:r>
            <w:bookmarkEnd w:id="3"/>
          </w:p>
          <w:p w:rsidR="00D2251D" w:rsidRPr="00B33814" w:rsidRDefault="00D2251D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3274B1" w:rsidTr="00D43DCE">
        <w:trPr>
          <w:cantSplit/>
        </w:trPr>
        <w:tc>
          <w:tcPr>
            <w:tcW w:w="5387" w:type="dxa"/>
            <w:vMerge w:val="restart"/>
          </w:tcPr>
          <w:p w:rsidR="004350E7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</w:t>
            </w:r>
          </w:p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4350E7" w:rsidRPr="00751408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Аукціон без умов – </w:t>
            </w:r>
            <w:r w:rsidR="00E12D2C" w:rsidRPr="00E12D2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2 462,30 </w:t>
            </w:r>
            <w:r w:rsidR="00F0181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4350E7" w:rsidRPr="003274B1" w:rsidTr="00D43DCE">
        <w:trPr>
          <w:cantSplit/>
        </w:trPr>
        <w:tc>
          <w:tcPr>
            <w:tcW w:w="5387" w:type="dxa"/>
            <w:vMerge/>
          </w:tcPr>
          <w:p w:rsidR="004350E7" w:rsidRPr="00540EFE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4350E7" w:rsidRDefault="004350E7" w:rsidP="000D23F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E12D2C">
              <w:rPr>
                <w:color w:val="000000"/>
                <w:szCs w:val="28"/>
              </w:rPr>
              <w:t xml:space="preserve">1 231,15 </w:t>
            </w:r>
            <w:r w:rsidR="00F0181A">
              <w:rPr>
                <w:color w:val="000000"/>
                <w:szCs w:val="28"/>
              </w:rPr>
              <w:t>грн</w:t>
            </w:r>
          </w:p>
          <w:p w:rsidR="000D23F7" w:rsidRPr="00751408" w:rsidRDefault="000D23F7" w:rsidP="000D23F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4350E7" w:rsidRPr="003274B1" w:rsidTr="00D43DCE">
        <w:trPr>
          <w:cantSplit/>
        </w:trPr>
        <w:tc>
          <w:tcPr>
            <w:tcW w:w="5387" w:type="dxa"/>
            <w:vMerge/>
          </w:tcPr>
          <w:p w:rsidR="004350E7" w:rsidRPr="00540EFE" w:rsidRDefault="004350E7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4350E7" w:rsidRPr="00751408" w:rsidRDefault="004350E7" w:rsidP="00F92A50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E12D2C">
              <w:rPr>
                <w:color w:val="000000"/>
                <w:szCs w:val="28"/>
              </w:rPr>
              <w:t xml:space="preserve">1 231,15 </w:t>
            </w:r>
            <w:r w:rsidR="00F0181A">
              <w:rPr>
                <w:color w:val="000000"/>
                <w:szCs w:val="28"/>
              </w:rPr>
              <w:t>грн</w:t>
            </w:r>
            <w:r w:rsidRPr="00751408">
              <w:rPr>
                <w:color w:val="000000"/>
                <w:szCs w:val="28"/>
              </w:rPr>
              <w:t xml:space="preserve"> </w:t>
            </w:r>
          </w:p>
        </w:tc>
      </w:tr>
      <w:tr w:rsidR="004350E7" w:rsidRPr="003274B1" w:rsidTr="00D43DCE">
        <w:trPr>
          <w:cantSplit/>
        </w:trPr>
        <w:tc>
          <w:tcPr>
            <w:tcW w:w="5387" w:type="dxa"/>
          </w:tcPr>
          <w:p w:rsidR="004350E7" w:rsidRPr="00F92A50" w:rsidRDefault="004350E7" w:rsidP="00E03F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0064" w:type="dxa"/>
          </w:tcPr>
          <w:p w:rsidR="004350E7" w:rsidRPr="00BA719B" w:rsidRDefault="004350E7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4350E7" w:rsidRPr="00A512B2" w:rsidTr="00D43DCE">
        <w:trPr>
          <w:cantSplit/>
        </w:trPr>
        <w:tc>
          <w:tcPr>
            <w:tcW w:w="53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4350E7" w:rsidRPr="003274B1" w:rsidRDefault="009571EB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4350E7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130E8" w:rsidRPr="00D43DCE" w:rsidTr="007741C3">
        <w:trPr>
          <w:cantSplit/>
          <w:trHeight w:val="275"/>
        </w:trPr>
        <w:tc>
          <w:tcPr>
            <w:tcW w:w="5387" w:type="dxa"/>
          </w:tcPr>
          <w:p w:rsidR="00E130E8" w:rsidRPr="003274B1" w:rsidRDefault="00E130E8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10064" w:type="dxa"/>
          </w:tcPr>
          <w:p w:rsidR="00E130E8" w:rsidRPr="00E130E8" w:rsidRDefault="00E130E8" w:rsidP="004350E7">
            <w:pPr>
              <w:spacing w:after="150"/>
              <w:jc w:val="both"/>
              <w:rPr>
                <w:lang w:val="uk-UA"/>
              </w:rPr>
            </w:pPr>
            <w:r w:rsidRPr="00E1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C57C64" w:rsidRPr="002203DA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459"/>
      <w:bookmarkStart w:id="5" w:name="n460"/>
      <w:bookmarkStart w:id="6" w:name="n461"/>
      <w:bookmarkStart w:id="7" w:name="n462"/>
      <w:bookmarkStart w:id="8" w:name="n463"/>
      <w:bookmarkStart w:id="9" w:name="n464"/>
      <w:bookmarkStart w:id="10" w:name="n465"/>
      <w:bookmarkStart w:id="11" w:name="n466"/>
      <w:bookmarkStart w:id="12" w:name="n467"/>
      <w:bookmarkStart w:id="13" w:name="n468"/>
      <w:bookmarkStart w:id="14" w:name="n469"/>
      <w:bookmarkStart w:id="15" w:name="n470"/>
      <w:bookmarkStart w:id="16" w:name="n471"/>
      <w:bookmarkStart w:id="17" w:name="n472"/>
      <w:bookmarkStart w:id="18" w:name="n9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57C64" w:rsidRPr="002203DA" w:rsidSect="00E03F55">
      <w:headerReference w:type="default" r:id="rId12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6C" w:rsidRDefault="0009006C" w:rsidP="00C3342C">
      <w:pPr>
        <w:spacing w:after="0" w:line="240" w:lineRule="auto"/>
      </w:pPr>
      <w:r>
        <w:separator/>
      </w:r>
    </w:p>
  </w:endnote>
  <w:endnote w:type="continuationSeparator" w:id="0">
    <w:p w:rsidR="0009006C" w:rsidRDefault="0009006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6C" w:rsidRDefault="0009006C" w:rsidP="00C3342C">
      <w:pPr>
        <w:spacing w:after="0" w:line="240" w:lineRule="auto"/>
      </w:pPr>
      <w:r>
        <w:separator/>
      </w:r>
    </w:p>
  </w:footnote>
  <w:footnote w:type="continuationSeparator" w:id="0">
    <w:p w:rsidR="0009006C" w:rsidRDefault="0009006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07764"/>
      <w:docPartObj>
        <w:docPartGallery w:val="Page Numbers (Top of Page)"/>
        <w:docPartUnique/>
      </w:docPartObj>
    </w:sdtPr>
    <w:sdtEndPr/>
    <w:sdtContent>
      <w:p w:rsidR="0009006C" w:rsidRDefault="009571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006C" w:rsidRDefault="000900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4203"/>
    <w:rsid w:val="00015CA0"/>
    <w:rsid w:val="00017AD5"/>
    <w:rsid w:val="0007409D"/>
    <w:rsid w:val="00075814"/>
    <w:rsid w:val="0009006C"/>
    <w:rsid w:val="00097354"/>
    <w:rsid w:val="000C3757"/>
    <w:rsid w:val="000D23F7"/>
    <w:rsid w:val="000D744A"/>
    <w:rsid w:val="000F20AE"/>
    <w:rsid w:val="00111EFD"/>
    <w:rsid w:val="00155734"/>
    <w:rsid w:val="00173B3A"/>
    <w:rsid w:val="001A4A69"/>
    <w:rsid w:val="001F23D7"/>
    <w:rsid w:val="002203DA"/>
    <w:rsid w:val="002362C9"/>
    <w:rsid w:val="00274CFC"/>
    <w:rsid w:val="002A2A4D"/>
    <w:rsid w:val="002B5A40"/>
    <w:rsid w:val="002C64D7"/>
    <w:rsid w:val="002E6EB9"/>
    <w:rsid w:val="003274B1"/>
    <w:rsid w:val="0033626D"/>
    <w:rsid w:val="003618F9"/>
    <w:rsid w:val="003723E2"/>
    <w:rsid w:val="003F7EDA"/>
    <w:rsid w:val="00430E3A"/>
    <w:rsid w:val="004350E7"/>
    <w:rsid w:val="00455D31"/>
    <w:rsid w:val="004B34A9"/>
    <w:rsid w:val="004B4984"/>
    <w:rsid w:val="004D6DF4"/>
    <w:rsid w:val="004F2B51"/>
    <w:rsid w:val="00550618"/>
    <w:rsid w:val="00561E21"/>
    <w:rsid w:val="00563E31"/>
    <w:rsid w:val="00565343"/>
    <w:rsid w:val="00602670"/>
    <w:rsid w:val="0065724A"/>
    <w:rsid w:val="00674896"/>
    <w:rsid w:val="006904F0"/>
    <w:rsid w:val="006D2B16"/>
    <w:rsid w:val="0072377C"/>
    <w:rsid w:val="00743EE7"/>
    <w:rsid w:val="00745E9E"/>
    <w:rsid w:val="00751408"/>
    <w:rsid w:val="007741C3"/>
    <w:rsid w:val="00776EA9"/>
    <w:rsid w:val="00792728"/>
    <w:rsid w:val="007A5327"/>
    <w:rsid w:val="007D4377"/>
    <w:rsid w:val="007F5976"/>
    <w:rsid w:val="008042F1"/>
    <w:rsid w:val="008176E2"/>
    <w:rsid w:val="008400A0"/>
    <w:rsid w:val="00840765"/>
    <w:rsid w:val="00896087"/>
    <w:rsid w:val="008A020E"/>
    <w:rsid w:val="008B5A09"/>
    <w:rsid w:val="009571EB"/>
    <w:rsid w:val="00965A2C"/>
    <w:rsid w:val="00977ACA"/>
    <w:rsid w:val="009A48BF"/>
    <w:rsid w:val="009A7870"/>
    <w:rsid w:val="009C7F0E"/>
    <w:rsid w:val="00A00780"/>
    <w:rsid w:val="00A00A68"/>
    <w:rsid w:val="00A102DA"/>
    <w:rsid w:val="00A512B2"/>
    <w:rsid w:val="00A51BBA"/>
    <w:rsid w:val="00A524AB"/>
    <w:rsid w:val="00A97416"/>
    <w:rsid w:val="00AE5B08"/>
    <w:rsid w:val="00B33814"/>
    <w:rsid w:val="00B41FB0"/>
    <w:rsid w:val="00BA719B"/>
    <w:rsid w:val="00C10000"/>
    <w:rsid w:val="00C13393"/>
    <w:rsid w:val="00C3342C"/>
    <w:rsid w:val="00C57C64"/>
    <w:rsid w:val="00D03110"/>
    <w:rsid w:val="00D2251D"/>
    <w:rsid w:val="00D300DB"/>
    <w:rsid w:val="00D43DCE"/>
    <w:rsid w:val="00D6428E"/>
    <w:rsid w:val="00D72BC8"/>
    <w:rsid w:val="00DD5655"/>
    <w:rsid w:val="00DF3D23"/>
    <w:rsid w:val="00E03F55"/>
    <w:rsid w:val="00E12D2C"/>
    <w:rsid w:val="00E130E8"/>
    <w:rsid w:val="00EF1EFF"/>
    <w:rsid w:val="00F0181A"/>
    <w:rsid w:val="00F574D2"/>
    <w:rsid w:val="00F6004A"/>
    <w:rsid w:val="00F62B0E"/>
    <w:rsid w:val="00F71C12"/>
    <w:rsid w:val="00F92A50"/>
    <w:rsid w:val="00FC5FCD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D615DB1-6A53-4F7D-ABF6-DACC448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52CF-E299-42FB-B803-88177E8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6535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Sveta</cp:lastModifiedBy>
  <cp:revision>33</cp:revision>
  <cp:lastPrinted>2020-04-01T08:36:00Z</cp:lastPrinted>
  <dcterms:created xsi:type="dcterms:W3CDTF">2019-03-28T07:43:00Z</dcterms:created>
  <dcterms:modified xsi:type="dcterms:W3CDTF">2020-04-02T13:20:00Z</dcterms:modified>
</cp:coreProperties>
</file>