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Default="00811EB9" w:rsidP="00811EB9">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A80CFE">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A80CF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A80CFE">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A80CFE">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A80CFE">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A80CFE"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80CFE" w:rsidRDefault="00A80CFE"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A80CFE" w:rsidRDefault="00A80CFE" w:rsidP="00A80CFE">
            <w:pPr>
              <w:spacing w:before="120"/>
              <w:rPr>
                <w:rFonts w:ascii="Times New Roman" w:hAnsi="Times New Roman"/>
                <w:color w:val="000000"/>
                <w:sz w:val="22"/>
                <w:szCs w:val="22"/>
              </w:rPr>
            </w:pPr>
            <w:proofErr w:type="spellStart"/>
            <w:r>
              <w:rPr>
                <w:rFonts w:ascii="Times New Roman" w:hAnsi="Times New Roman"/>
                <w:color w:val="000000"/>
                <w:sz w:val="22"/>
                <w:szCs w:val="22"/>
              </w:rPr>
              <w:t>Коперн</w:t>
            </w:r>
            <w:proofErr w:type="spellEnd"/>
            <w:r>
              <w:rPr>
                <w:rFonts w:ascii="Times New Roman" w:hAnsi="Times New Roman"/>
                <w:color w:val="000000"/>
                <w:sz w:val="22"/>
                <w:szCs w:val="22"/>
                <w:lang w:val="en-US"/>
              </w:rPr>
              <w:t>и</w:t>
            </w:r>
            <w:proofErr w:type="spellStart"/>
            <w:r>
              <w:rPr>
                <w:rFonts w:ascii="Times New Roman" w:hAnsi="Times New Roman"/>
                <w:color w:val="000000"/>
                <w:sz w:val="22"/>
                <w:szCs w:val="22"/>
              </w:rPr>
              <w:t>ка</w:t>
            </w:r>
            <w:proofErr w:type="spellEnd"/>
            <w:r>
              <w:rPr>
                <w:rFonts w:ascii="Times New Roman" w:hAnsi="Times New Roman"/>
                <w:color w:val="000000"/>
                <w:sz w:val="22"/>
                <w:szCs w:val="22"/>
              </w:rPr>
              <w:t>,4</w:t>
            </w:r>
          </w:p>
        </w:tc>
        <w:tc>
          <w:tcPr>
            <w:tcW w:w="1174" w:type="dxa"/>
            <w:gridSpan w:val="4"/>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A80CFE" w:rsidRDefault="00A80CFE" w:rsidP="00A80CFE">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sz w:val="22"/>
                <w:szCs w:val="22"/>
              </w:rPr>
              <w:t> </w:t>
            </w: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sz w:val="22"/>
                <w:szCs w:val="22"/>
              </w:rPr>
            </w:pP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Pr="00903D24" w:rsidRDefault="00A80CFE" w:rsidP="00A80CFE">
            <w:pPr>
              <w:spacing w:before="120"/>
              <w:rPr>
                <w:rFonts w:ascii="Times New Roman" w:hAnsi="Times New Roman"/>
                <w:color w:val="000000"/>
                <w:sz w:val="22"/>
                <w:szCs w:val="22"/>
              </w:rPr>
            </w:pPr>
            <w:proofErr w:type="spellStart"/>
            <w:r w:rsidRPr="00903D24">
              <w:rPr>
                <w:rFonts w:ascii="Times New Roman" w:hAnsi="Times New Roman"/>
                <w:color w:val="000000"/>
                <w:sz w:val="22"/>
                <w:szCs w:val="22"/>
                <w:lang w:val="ru-RU"/>
              </w:rPr>
              <w:t>Державна</w:t>
            </w:r>
            <w:proofErr w:type="spellEnd"/>
            <w:r w:rsidRPr="00903D24">
              <w:rPr>
                <w:rFonts w:ascii="Times New Roman" w:hAnsi="Times New Roman"/>
                <w:color w:val="000000"/>
                <w:sz w:val="22"/>
                <w:szCs w:val="22"/>
                <w:lang w:val="ru-RU"/>
              </w:rPr>
              <w:t xml:space="preserve"> </w:t>
            </w:r>
            <w:proofErr w:type="spellStart"/>
            <w:r w:rsidRPr="00903D24">
              <w:rPr>
                <w:rFonts w:ascii="Times New Roman" w:hAnsi="Times New Roman"/>
                <w:color w:val="000000"/>
                <w:sz w:val="22"/>
                <w:szCs w:val="22"/>
                <w:lang w:val="ru-RU"/>
              </w:rPr>
              <w:lastRenderedPageBreak/>
              <w:t>устнова</w:t>
            </w:r>
            <w:proofErr w:type="spellEnd"/>
            <w:r w:rsidRPr="00903D24">
              <w:rPr>
                <w:rFonts w:ascii="Times New Roman" w:hAnsi="Times New Roman"/>
                <w:color w:val="000000"/>
                <w:sz w:val="22"/>
                <w:szCs w:val="22"/>
                <w:lang w:val="ru-RU"/>
              </w:rPr>
              <w:t xml:space="preserve"> </w:t>
            </w:r>
            <w:r w:rsidR="00903D24">
              <w:rPr>
                <w:rFonts w:ascii="Times New Roman" w:hAnsi="Times New Roman"/>
                <w:color w:val="000000"/>
                <w:sz w:val="22"/>
                <w:szCs w:val="22"/>
              </w:rPr>
              <w:t xml:space="preserve"> "Інститут охорони </w:t>
            </w:r>
            <w:proofErr w:type="spellStart"/>
            <w:r w:rsidR="00903D24">
              <w:rPr>
                <w:rFonts w:ascii="Times New Roman" w:hAnsi="Times New Roman"/>
                <w:color w:val="000000"/>
                <w:sz w:val="22"/>
                <w:szCs w:val="22"/>
              </w:rPr>
              <w:t>грунтів</w:t>
            </w:r>
            <w:proofErr w:type="spellEnd"/>
            <w:r w:rsidR="00903D24">
              <w:rPr>
                <w:rFonts w:ascii="Times New Roman" w:hAnsi="Times New Roman"/>
                <w:color w:val="000000"/>
                <w:sz w:val="22"/>
                <w:szCs w:val="22"/>
              </w:rPr>
              <w:t xml:space="preserve"> України" </w:t>
            </w:r>
          </w:p>
        </w:tc>
        <w:tc>
          <w:tcPr>
            <w:tcW w:w="1300" w:type="dxa"/>
            <w:tcBorders>
              <w:top w:val="single" w:sz="4" w:space="0" w:color="000000"/>
              <w:left w:val="nil"/>
              <w:bottom w:val="single" w:sz="4" w:space="0" w:color="000000"/>
              <w:right w:val="single" w:sz="4" w:space="0" w:color="000000"/>
            </w:tcBorders>
          </w:tcPr>
          <w:p w:rsidR="00811EB9" w:rsidRDefault="00903D24" w:rsidP="00A80CFE">
            <w:pPr>
              <w:spacing w:before="120"/>
              <w:rPr>
                <w:rFonts w:ascii="Times New Roman" w:hAnsi="Times New Roman"/>
                <w:color w:val="000000"/>
                <w:sz w:val="22"/>
                <w:szCs w:val="22"/>
              </w:rPr>
            </w:pPr>
            <w:r>
              <w:rPr>
                <w:rFonts w:ascii="Times New Roman" w:hAnsi="Times New Roman"/>
                <w:color w:val="000000"/>
                <w:sz w:val="22"/>
                <w:szCs w:val="22"/>
              </w:rPr>
              <w:lastRenderedPageBreak/>
              <w:t>28517250</w:t>
            </w:r>
          </w:p>
        </w:tc>
        <w:tc>
          <w:tcPr>
            <w:tcW w:w="1327" w:type="dxa"/>
            <w:tcBorders>
              <w:top w:val="single" w:sz="4" w:space="0" w:color="000000"/>
              <w:left w:val="nil"/>
              <w:bottom w:val="single" w:sz="4" w:space="0" w:color="000000"/>
              <w:right w:val="single" w:sz="4" w:space="0" w:color="000000"/>
            </w:tcBorders>
          </w:tcPr>
          <w:p w:rsidR="00811EB9" w:rsidRDefault="00903D24" w:rsidP="00A80CFE">
            <w:pPr>
              <w:spacing w:before="120"/>
              <w:rPr>
                <w:rFonts w:ascii="Times New Roman" w:hAnsi="Times New Roman"/>
                <w:color w:val="000000"/>
                <w:sz w:val="22"/>
                <w:szCs w:val="22"/>
              </w:rPr>
            </w:pPr>
            <w:r>
              <w:rPr>
                <w:rFonts w:ascii="Times New Roman" w:hAnsi="Times New Roman"/>
                <w:color w:val="000000"/>
                <w:sz w:val="22"/>
                <w:szCs w:val="22"/>
              </w:rPr>
              <w:t xml:space="preserve">Львівська </w:t>
            </w:r>
            <w:r>
              <w:rPr>
                <w:rFonts w:ascii="Times New Roman" w:hAnsi="Times New Roman"/>
                <w:color w:val="000000"/>
                <w:sz w:val="22"/>
                <w:szCs w:val="22"/>
              </w:rPr>
              <w:lastRenderedPageBreak/>
              <w:t xml:space="preserve">обл., </w:t>
            </w:r>
            <w:proofErr w:type="spellStart"/>
            <w:r>
              <w:rPr>
                <w:rFonts w:ascii="Times New Roman" w:hAnsi="Times New Roman"/>
                <w:color w:val="000000"/>
                <w:sz w:val="22"/>
                <w:szCs w:val="22"/>
              </w:rPr>
              <w:t>Пустомитівський</w:t>
            </w:r>
            <w:proofErr w:type="spellEnd"/>
            <w:r>
              <w:rPr>
                <w:rFonts w:ascii="Times New Roman" w:hAnsi="Times New Roman"/>
                <w:color w:val="000000"/>
                <w:sz w:val="22"/>
                <w:szCs w:val="22"/>
              </w:rPr>
              <w:t xml:space="preserve"> р-н, </w:t>
            </w:r>
            <w:proofErr w:type="spellStart"/>
            <w:r>
              <w:rPr>
                <w:rFonts w:ascii="Times New Roman" w:hAnsi="Times New Roman"/>
                <w:color w:val="000000"/>
                <w:sz w:val="22"/>
                <w:szCs w:val="22"/>
              </w:rPr>
              <w:t>с.Оброшино</w:t>
            </w:r>
            <w:proofErr w:type="spellEnd"/>
            <w:r>
              <w:rPr>
                <w:rFonts w:ascii="Times New Roman" w:hAnsi="Times New Roman"/>
                <w:color w:val="000000"/>
                <w:sz w:val="22"/>
                <w:szCs w:val="22"/>
              </w:rPr>
              <w:t>,</w:t>
            </w:r>
            <w:proofErr w:type="spellStart"/>
            <w:r w:rsidR="000F485E">
              <w:rPr>
                <w:rFonts w:ascii="Times New Roman" w:hAnsi="Times New Roman"/>
                <w:color w:val="000000"/>
                <w:sz w:val="22"/>
                <w:szCs w:val="22"/>
              </w:rPr>
              <w:t>вул.Шевченка</w:t>
            </w:r>
            <w:proofErr w:type="spellEnd"/>
            <w:r w:rsidR="000F485E">
              <w:rPr>
                <w:rFonts w:ascii="Times New Roman" w:hAnsi="Times New Roman"/>
                <w:color w:val="000000"/>
                <w:sz w:val="22"/>
                <w:szCs w:val="22"/>
              </w:rPr>
              <w:t>,6</w:t>
            </w:r>
          </w:p>
        </w:tc>
        <w:tc>
          <w:tcPr>
            <w:tcW w:w="1090" w:type="dxa"/>
            <w:gridSpan w:val="3"/>
            <w:tcBorders>
              <w:top w:val="single" w:sz="4" w:space="0" w:color="000000"/>
              <w:left w:val="nil"/>
              <w:bottom w:val="single" w:sz="4" w:space="0" w:color="000000"/>
              <w:right w:val="single" w:sz="4" w:space="0" w:color="000000"/>
            </w:tcBorders>
          </w:tcPr>
          <w:p w:rsidR="00811EB9" w:rsidRDefault="00012D90" w:rsidP="00A80CFE">
            <w:pPr>
              <w:spacing w:before="120"/>
              <w:rPr>
                <w:rFonts w:ascii="Times New Roman" w:hAnsi="Times New Roman"/>
                <w:color w:val="000000"/>
                <w:sz w:val="22"/>
                <w:szCs w:val="22"/>
              </w:rPr>
            </w:pPr>
            <w:proofErr w:type="spellStart"/>
            <w:r>
              <w:rPr>
                <w:rFonts w:ascii="Times New Roman" w:hAnsi="Times New Roman"/>
                <w:color w:val="000000"/>
                <w:sz w:val="22"/>
                <w:szCs w:val="22"/>
              </w:rPr>
              <w:lastRenderedPageBreak/>
              <w:t>Демчиш</w:t>
            </w:r>
            <w:r>
              <w:rPr>
                <w:rFonts w:ascii="Times New Roman" w:hAnsi="Times New Roman"/>
                <w:color w:val="000000"/>
                <w:sz w:val="22"/>
                <w:szCs w:val="22"/>
              </w:rPr>
              <w:lastRenderedPageBreak/>
              <w:t>ин</w:t>
            </w:r>
            <w:proofErr w:type="spellEnd"/>
            <w:r>
              <w:rPr>
                <w:rFonts w:ascii="Times New Roman" w:hAnsi="Times New Roman"/>
                <w:color w:val="000000"/>
                <w:sz w:val="22"/>
                <w:szCs w:val="22"/>
              </w:rPr>
              <w:t xml:space="preserve"> Анатолій</w:t>
            </w:r>
          </w:p>
        </w:tc>
        <w:tc>
          <w:tcPr>
            <w:tcW w:w="1305" w:type="dxa"/>
            <w:gridSpan w:val="2"/>
            <w:tcBorders>
              <w:top w:val="single" w:sz="4" w:space="0" w:color="000000"/>
              <w:left w:val="nil"/>
              <w:bottom w:val="single" w:sz="4" w:space="0" w:color="000000"/>
              <w:right w:val="single" w:sz="4" w:space="0" w:color="000000"/>
            </w:tcBorders>
          </w:tcPr>
          <w:p w:rsidR="00811EB9" w:rsidRDefault="00012D90" w:rsidP="00A80CFE">
            <w:pPr>
              <w:spacing w:before="120"/>
              <w:rPr>
                <w:rFonts w:ascii="Times New Roman" w:hAnsi="Times New Roman"/>
                <w:color w:val="000000"/>
                <w:sz w:val="22"/>
                <w:szCs w:val="22"/>
              </w:rPr>
            </w:pPr>
            <w:r>
              <w:rPr>
                <w:rFonts w:ascii="Times New Roman" w:hAnsi="Times New Roman"/>
                <w:color w:val="000000"/>
                <w:sz w:val="22"/>
                <w:szCs w:val="22"/>
              </w:rPr>
              <w:lastRenderedPageBreak/>
              <w:t>директор</w:t>
            </w:r>
          </w:p>
        </w:tc>
        <w:tc>
          <w:tcPr>
            <w:tcW w:w="1442" w:type="dxa"/>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A80CFE">
        <w:trPr>
          <w:trHeight w:val="320"/>
        </w:trPr>
        <w:tc>
          <w:tcPr>
            <w:tcW w:w="770" w:type="dxa"/>
            <w:tcBorders>
              <w:top w:val="nil"/>
              <w:left w:val="single" w:sz="4" w:space="0" w:color="000000"/>
              <w:bottom w:val="single" w:sz="4" w:space="0" w:color="000000"/>
              <w:right w:val="single" w:sz="4" w:space="0" w:color="000000"/>
            </w:tcBorders>
            <w:hideMark/>
          </w:tcPr>
          <w:p w:rsidR="00811EB9" w:rsidRPr="00F334E8" w:rsidRDefault="00811EB9" w:rsidP="00A80CFE">
            <w:pPr>
              <w:spacing w:before="120"/>
              <w:jc w:val="center"/>
              <w:rPr>
                <w:rFonts w:ascii="Times New Roman" w:hAnsi="Times New Roman"/>
                <w:color w:val="000000"/>
                <w:sz w:val="22"/>
                <w:szCs w:val="22"/>
              </w:rPr>
            </w:pPr>
            <w:r w:rsidRPr="00F334E8">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Pr="00F334E8" w:rsidRDefault="00811EB9" w:rsidP="00A80CFE">
            <w:pPr>
              <w:spacing w:before="120"/>
              <w:rPr>
                <w:rFonts w:ascii="Times New Roman" w:hAnsi="Times New Roman"/>
                <w:color w:val="000000"/>
                <w:sz w:val="22"/>
                <w:szCs w:val="22"/>
              </w:rPr>
            </w:pPr>
            <w:r w:rsidRPr="00F334E8">
              <w:rPr>
                <w:rFonts w:ascii="Times New Roman" w:hAnsi="Times New Roman"/>
                <w:color w:val="000000"/>
                <w:sz w:val="22"/>
                <w:szCs w:val="22"/>
              </w:rPr>
              <w:t>Інформація про об’єкт оренди</w:t>
            </w:r>
            <w:r w:rsidRPr="00F334E8">
              <w:rPr>
                <w:rFonts w:ascii="Times New Roman" w:hAnsi="Times New Roman"/>
                <w:color w:val="000000"/>
                <w:sz w:val="22"/>
                <w:szCs w:val="22"/>
                <w:lang w:val="en-US"/>
              </w:rPr>
              <w:t> </w:t>
            </w:r>
            <w:r w:rsidRPr="00F334E8">
              <w:rPr>
                <w:rFonts w:ascii="Times New Roman" w:hAnsi="Times New Roman"/>
                <w:color w:val="000000"/>
                <w:sz w:val="22"/>
                <w:szCs w:val="22"/>
                <w:lang w:val="ru-RU"/>
              </w:rPr>
              <w:t>—</w:t>
            </w:r>
            <w:r w:rsidRPr="00F334E8">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Pr="00F334E8" w:rsidRDefault="00811EB9" w:rsidP="00A80CFE">
            <w:pPr>
              <w:spacing w:before="120"/>
              <w:rPr>
                <w:rFonts w:ascii="Times New Roman" w:hAnsi="Times New Roman"/>
                <w:color w:val="000000"/>
                <w:sz w:val="22"/>
                <w:szCs w:val="22"/>
              </w:rPr>
            </w:pPr>
            <w:r w:rsidRPr="00F334E8">
              <w:rPr>
                <w:rFonts w:ascii="Times New Roman" w:hAnsi="Times New Roman"/>
                <w:color w:val="000000"/>
                <w:sz w:val="22"/>
                <w:szCs w:val="22"/>
              </w:rPr>
              <w:t> </w:t>
            </w:r>
            <w:r w:rsidR="00F334E8" w:rsidRPr="00F334E8">
              <w:rPr>
                <w:rFonts w:ascii="Times New Roman" w:hAnsi="Times New Roman"/>
                <w:sz w:val="22"/>
                <w:szCs w:val="22"/>
              </w:rPr>
              <w:t xml:space="preserve">частина даху  будівлі лабораторно-адміністративного корпусу, загальною площею 80,0 </w:t>
            </w:r>
            <w:proofErr w:type="spellStart"/>
            <w:r w:rsidR="00F334E8" w:rsidRPr="00F334E8">
              <w:rPr>
                <w:rFonts w:ascii="Times New Roman" w:hAnsi="Times New Roman"/>
                <w:sz w:val="22"/>
                <w:szCs w:val="22"/>
              </w:rPr>
              <w:t>кв.м</w:t>
            </w:r>
            <w:proofErr w:type="spellEnd"/>
            <w:r w:rsidR="00F334E8" w:rsidRPr="00F334E8">
              <w:rPr>
                <w:rFonts w:ascii="Times New Roman" w:hAnsi="Times New Roman"/>
                <w:sz w:val="22"/>
                <w:szCs w:val="22"/>
              </w:rPr>
              <w:t>, за адресою: Львівська обл.</w:t>
            </w:r>
            <w:r w:rsidR="00F334E8" w:rsidRPr="00F334E8">
              <w:rPr>
                <w:rFonts w:ascii="Times New Roman" w:hAnsi="Times New Roman"/>
                <w:color w:val="000000"/>
                <w:sz w:val="22"/>
                <w:szCs w:val="22"/>
              </w:rPr>
              <w:t xml:space="preserve">, </w:t>
            </w:r>
            <w:proofErr w:type="spellStart"/>
            <w:r w:rsidR="00F334E8" w:rsidRPr="00F334E8">
              <w:rPr>
                <w:rFonts w:ascii="Times New Roman" w:hAnsi="Times New Roman"/>
                <w:color w:val="000000"/>
                <w:sz w:val="22"/>
                <w:szCs w:val="22"/>
              </w:rPr>
              <w:t>Пустомитівський</w:t>
            </w:r>
            <w:proofErr w:type="spellEnd"/>
            <w:r w:rsidR="00F334E8" w:rsidRPr="00F334E8">
              <w:rPr>
                <w:rFonts w:ascii="Times New Roman" w:hAnsi="Times New Roman"/>
                <w:color w:val="000000"/>
                <w:sz w:val="22"/>
                <w:szCs w:val="22"/>
              </w:rPr>
              <w:t xml:space="preserve"> р-н, </w:t>
            </w:r>
            <w:proofErr w:type="spellStart"/>
            <w:r w:rsidR="00F334E8" w:rsidRPr="00F334E8">
              <w:rPr>
                <w:rFonts w:ascii="Times New Roman" w:hAnsi="Times New Roman"/>
                <w:color w:val="000000"/>
                <w:sz w:val="22"/>
                <w:szCs w:val="22"/>
              </w:rPr>
              <w:t>с.Оброшине</w:t>
            </w:r>
            <w:proofErr w:type="spellEnd"/>
            <w:r w:rsidR="00F334E8" w:rsidRPr="00F334E8">
              <w:rPr>
                <w:rFonts w:ascii="Times New Roman" w:hAnsi="Times New Roman"/>
                <w:color w:val="000000"/>
                <w:sz w:val="22"/>
                <w:szCs w:val="22"/>
              </w:rPr>
              <w:t xml:space="preserve">, </w:t>
            </w:r>
            <w:proofErr w:type="spellStart"/>
            <w:r w:rsidR="00F334E8" w:rsidRPr="00F334E8">
              <w:rPr>
                <w:rFonts w:ascii="Times New Roman" w:hAnsi="Times New Roman"/>
                <w:color w:val="000000"/>
                <w:sz w:val="22"/>
                <w:szCs w:val="22"/>
              </w:rPr>
              <w:t>вул.Шевченка</w:t>
            </w:r>
            <w:proofErr w:type="spellEnd"/>
            <w:r w:rsidR="00F334E8" w:rsidRPr="00F334E8">
              <w:rPr>
                <w:rFonts w:ascii="Times New Roman" w:hAnsi="Times New Roman"/>
                <w:color w:val="000000"/>
                <w:sz w:val="22"/>
                <w:szCs w:val="22"/>
              </w:rPr>
              <w:t xml:space="preserve">,6, що перебуває на балансі Львівської філії ДУ "Інститут охорони </w:t>
            </w:r>
            <w:proofErr w:type="spellStart"/>
            <w:r w:rsidR="00F334E8" w:rsidRPr="00F334E8">
              <w:rPr>
                <w:rFonts w:ascii="Times New Roman" w:hAnsi="Times New Roman"/>
                <w:color w:val="000000"/>
                <w:sz w:val="22"/>
                <w:szCs w:val="22"/>
              </w:rPr>
              <w:t>грунтів</w:t>
            </w:r>
            <w:proofErr w:type="spellEnd"/>
            <w:r w:rsidR="00F334E8" w:rsidRPr="00F334E8">
              <w:rPr>
                <w:rFonts w:ascii="Times New Roman" w:hAnsi="Times New Roman"/>
                <w:color w:val="000000"/>
                <w:sz w:val="22"/>
                <w:szCs w:val="22"/>
              </w:rPr>
              <w:t xml:space="preserve">  України"</w:t>
            </w:r>
          </w:p>
        </w:tc>
      </w:tr>
      <w:tr w:rsidR="00811EB9" w:rsidTr="00A80CFE">
        <w:trPr>
          <w:trHeight w:val="320"/>
        </w:trPr>
        <w:tc>
          <w:tcPr>
            <w:tcW w:w="10605" w:type="dxa"/>
            <w:gridSpan w:val="14"/>
            <w:tcBorders>
              <w:top w:val="nil"/>
              <w:left w:val="single" w:sz="4" w:space="0" w:color="000000"/>
              <w:bottom w:val="single" w:sz="4" w:space="0" w:color="000000"/>
              <w:right w:val="single" w:sz="4" w:space="0" w:color="000000"/>
            </w:tcBorders>
            <w:hideMark/>
          </w:tcPr>
          <w:p w:rsidR="00811EB9" w:rsidRPr="00F334E8" w:rsidRDefault="00811EB9" w:rsidP="00A80CFE">
            <w:pPr>
              <w:spacing w:before="120"/>
              <w:jc w:val="center"/>
              <w:rPr>
                <w:rFonts w:ascii="Times New Roman" w:hAnsi="Times New Roman"/>
                <w:color w:val="000000"/>
                <w:sz w:val="22"/>
                <w:szCs w:val="22"/>
              </w:rPr>
            </w:pPr>
            <w:r w:rsidRPr="00F334E8">
              <w:rPr>
                <w:rFonts w:ascii="Times New Roman" w:hAnsi="Times New Roman"/>
                <w:color w:val="000000"/>
                <w:sz w:val="22"/>
                <w:szCs w:val="22"/>
              </w:rPr>
              <w:t>або</w:t>
            </w:r>
          </w:p>
        </w:tc>
      </w:tr>
      <w:tr w:rsidR="00811EB9" w:rsidTr="00A80CF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A80CFE">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811EB9" w:rsidRDefault="00811EB9" w:rsidP="00A80CF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p>
        </w:tc>
      </w:tr>
      <w:tr w:rsidR="00811EB9" w:rsidTr="00A80CFE">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A80CF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A80CFE">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A80CFE">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A80CFE">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sz w:val="22"/>
                <w:szCs w:val="22"/>
              </w:rPr>
            </w:pPr>
            <w:r>
              <w:rPr>
                <w:rFonts w:ascii="Times New Roman" w:hAnsi="Times New Roman"/>
                <w:sz w:val="22"/>
                <w:szCs w:val="22"/>
              </w:rPr>
              <w:t>сума (гривень) ________</w:t>
            </w:r>
          </w:p>
        </w:tc>
      </w:tr>
      <w:tr w:rsidR="00811EB9" w:rsidTr="00A80CFE">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A80CF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sz w:val="22"/>
                <w:szCs w:val="22"/>
              </w:rPr>
              <w:t xml:space="preserve">(А) аукціон (Б) без аукціону </w:t>
            </w:r>
            <w:r w:rsidRPr="00F90C1D">
              <w:rPr>
                <w:rFonts w:ascii="Times New Roman" w:hAnsi="Times New Roman"/>
                <w:b/>
                <w:sz w:val="22"/>
                <w:szCs w:val="22"/>
              </w:rPr>
              <w:t>(В)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811EB9" w:rsidTr="00A80CF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A80CF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A80CFE">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A80CF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F90C1D" w:rsidP="00A80CFE">
            <w:pPr>
              <w:spacing w:before="120"/>
              <w:rPr>
                <w:rFonts w:ascii="Times New Roman" w:hAnsi="Times New Roman"/>
                <w:color w:val="000000"/>
                <w:sz w:val="22"/>
                <w:szCs w:val="22"/>
              </w:rPr>
            </w:pPr>
            <w:r>
              <w:rPr>
                <w:rFonts w:ascii="Times New Roman" w:hAnsi="Times New Roman"/>
                <w:color w:val="000000"/>
                <w:sz w:val="22"/>
                <w:szCs w:val="22"/>
              </w:rPr>
              <w:t>338 729 гривень</w:t>
            </w:r>
            <w:r w:rsidR="00811EB9">
              <w:rPr>
                <w:rFonts w:ascii="Times New Roman" w:hAnsi="Times New Roman"/>
                <w:color w:val="000000"/>
                <w:sz w:val="22"/>
                <w:szCs w:val="22"/>
              </w:rPr>
              <w:t>, без податку на додану вартість _______________</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811EB9" w:rsidRDefault="00F90C1D" w:rsidP="00A80CFE">
            <w:pPr>
              <w:spacing w:before="120"/>
              <w:rPr>
                <w:rFonts w:ascii="Times New Roman" w:hAnsi="Times New Roman"/>
                <w:color w:val="000000"/>
                <w:sz w:val="22"/>
                <w:szCs w:val="22"/>
              </w:rPr>
            </w:pPr>
            <w:r>
              <w:rPr>
                <w:rFonts w:ascii="Times New Roman" w:hAnsi="Times New Roman"/>
                <w:color w:val="000000"/>
                <w:sz w:val="22"/>
                <w:szCs w:val="22"/>
              </w:rPr>
              <w:t>СПД  Швець  Ірина  Зіновіївна</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A80CFE">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F90C1D">
              <w:rPr>
                <w:rFonts w:ascii="Times New Roman" w:hAnsi="Times New Roman"/>
                <w:color w:val="000000"/>
                <w:sz w:val="22"/>
                <w:szCs w:val="22"/>
              </w:rPr>
              <w:t>30</w:t>
            </w:r>
            <w:r w:rsidRPr="00C40306">
              <w:rPr>
                <w:rFonts w:ascii="Times New Roman" w:hAnsi="Times New Roman"/>
                <w:color w:val="000000"/>
                <w:sz w:val="22"/>
                <w:szCs w:val="22"/>
                <w:lang w:val="ru-RU"/>
              </w:rPr>
              <w:t>”</w:t>
            </w:r>
            <w:r w:rsidR="00F90C1D">
              <w:rPr>
                <w:rFonts w:ascii="Times New Roman" w:hAnsi="Times New Roman"/>
                <w:color w:val="000000"/>
                <w:sz w:val="22"/>
                <w:szCs w:val="22"/>
              </w:rPr>
              <w:t xml:space="preserve"> вересня  2020 </w:t>
            </w:r>
            <w:r>
              <w:rPr>
                <w:rFonts w:ascii="Times New Roman" w:hAnsi="Times New Roman"/>
                <w:color w:val="000000"/>
                <w:sz w:val="22"/>
                <w:szCs w:val="22"/>
              </w:rPr>
              <w:t>р.</w:t>
            </w:r>
          </w:p>
          <w:p w:rsidR="00811EB9" w:rsidRDefault="00811EB9" w:rsidP="00A80CFE">
            <w:pPr>
              <w:spacing w:before="120"/>
              <w:rPr>
                <w:rFonts w:ascii="Times New Roman" w:hAnsi="Times New Roman"/>
                <w:color w:val="000000"/>
                <w:sz w:val="22"/>
                <w:szCs w:val="22"/>
              </w:rPr>
            </w:pP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en-US"/>
              </w:rPr>
              <w:t>“</w:t>
            </w:r>
            <w:r w:rsidR="005228F5">
              <w:rPr>
                <w:rFonts w:ascii="Times New Roman" w:hAnsi="Times New Roman"/>
                <w:color w:val="000000"/>
                <w:sz w:val="22"/>
                <w:szCs w:val="22"/>
              </w:rPr>
              <w:t>23</w:t>
            </w:r>
            <w:r>
              <w:rPr>
                <w:rFonts w:ascii="Times New Roman" w:hAnsi="Times New Roman"/>
                <w:color w:val="000000"/>
                <w:sz w:val="22"/>
                <w:szCs w:val="22"/>
                <w:lang w:val="en-US"/>
              </w:rPr>
              <w:t>”</w:t>
            </w:r>
            <w:r w:rsidR="0071367E">
              <w:rPr>
                <w:rFonts w:ascii="Times New Roman" w:hAnsi="Times New Roman"/>
                <w:color w:val="000000"/>
                <w:sz w:val="22"/>
                <w:szCs w:val="22"/>
              </w:rPr>
              <w:t xml:space="preserve"> </w:t>
            </w:r>
            <w:proofErr w:type="gramStart"/>
            <w:r w:rsidR="0071367E">
              <w:rPr>
                <w:rFonts w:ascii="Times New Roman" w:hAnsi="Times New Roman"/>
                <w:color w:val="000000"/>
                <w:sz w:val="22"/>
                <w:szCs w:val="22"/>
              </w:rPr>
              <w:t>листопада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A80CFE">
            <w:pPr>
              <w:spacing w:before="120"/>
              <w:rPr>
                <w:rFonts w:ascii="Times New Roman" w:hAnsi="Times New Roman"/>
                <w:color w:val="000000"/>
                <w:sz w:val="22"/>
                <w:szCs w:val="22"/>
              </w:rPr>
            </w:pPr>
          </w:p>
        </w:tc>
      </w:tr>
      <w:tr w:rsidR="00811EB9" w:rsidTr="005228F5">
        <w:trPr>
          <w:trHeight w:val="1183"/>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en-US"/>
              </w:rPr>
              <w:t>“</w:t>
            </w:r>
            <w:r w:rsidR="005228F5">
              <w:rPr>
                <w:rFonts w:ascii="Times New Roman" w:hAnsi="Times New Roman"/>
                <w:color w:val="000000"/>
                <w:sz w:val="22"/>
                <w:szCs w:val="22"/>
              </w:rPr>
              <w:t>20</w:t>
            </w:r>
            <w:r>
              <w:rPr>
                <w:rFonts w:ascii="Times New Roman" w:hAnsi="Times New Roman"/>
                <w:color w:val="000000"/>
                <w:sz w:val="22"/>
                <w:szCs w:val="22"/>
                <w:lang w:val="en-US"/>
              </w:rPr>
              <w:t>”</w:t>
            </w:r>
            <w:proofErr w:type="gramStart"/>
            <w:r w:rsidR="005228F5">
              <w:rPr>
                <w:rFonts w:ascii="Times New Roman" w:hAnsi="Times New Roman"/>
                <w:color w:val="000000"/>
                <w:sz w:val="22"/>
                <w:szCs w:val="22"/>
              </w:rPr>
              <w:t>листопада  2020р</w:t>
            </w:r>
            <w:proofErr w:type="gramEnd"/>
            <w:r w:rsidR="005228F5">
              <w:rPr>
                <w:rFonts w:ascii="Times New Roman" w:hAnsi="Times New Roman"/>
                <w:color w:val="000000"/>
                <w:sz w:val="22"/>
                <w:szCs w:val="22"/>
              </w:rPr>
              <w:t>.</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A80CFE">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A80CF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A80CF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A80CFE">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A80CF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811EB9" w:rsidRDefault="00811EB9" w:rsidP="00A80CFE">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sz w:val="22"/>
                <w:szCs w:val="22"/>
              </w:rPr>
            </w:pPr>
            <w:r>
              <w:rPr>
                <w:rFonts w:ascii="Times New Roman" w:hAnsi="Times New Roman"/>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w:t>
            </w:r>
            <w:r>
              <w:rPr>
                <w:rFonts w:ascii="Times New Roman" w:hAnsi="Times New Roman"/>
                <w:color w:val="000000"/>
                <w:sz w:val="22"/>
                <w:szCs w:val="22"/>
              </w:rPr>
              <w:lastRenderedPageBreak/>
              <w:t>закладу) ____________________________________________________________________</w:t>
            </w:r>
          </w:p>
          <w:p w:rsidR="00811EB9" w:rsidRDefault="00811EB9" w:rsidP="00A80CFE">
            <w:pPr>
              <w:spacing w:before="120"/>
              <w:jc w:val="center"/>
              <w:rPr>
                <w:rFonts w:ascii="Times New Roman" w:hAnsi="Times New Roman"/>
                <w:color w:val="000000"/>
                <w:sz w:val="22"/>
                <w:szCs w:val="22"/>
              </w:rPr>
            </w:pPr>
          </w:p>
          <w:p w:rsidR="00811EB9" w:rsidRDefault="00811EB9" w:rsidP="00A80CFE">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A80CFE">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A80CFE">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A80CFE">
            <w:pPr>
              <w:spacing w:before="120"/>
              <w:ind w:left="80" w:right="110"/>
              <w:jc w:val="center"/>
              <w:rPr>
                <w:rFonts w:ascii="Times New Roman" w:hAnsi="Times New Roman"/>
                <w:sz w:val="22"/>
                <w:szCs w:val="22"/>
              </w:rPr>
            </w:pPr>
          </w:p>
          <w:p w:rsidR="00811EB9" w:rsidRDefault="00811EB9" w:rsidP="00A80CFE">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A80CFE">
            <w:pPr>
              <w:spacing w:before="120"/>
              <w:jc w:val="center"/>
              <w:rPr>
                <w:rFonts w:ascii="Times New Roman" w:hAnsi="Times New Roman"/>
                <w:sz w:val="22"/>
                <w:szCs w:val="22"/>
              </w:rPr>
            </w:pPr>
          </w:p>
          <w:p w:rsidR="00811EB9" w:rsidRDefault="00811EB9" w:rsidP="00A80CFE">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A80CF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A80CF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A80CFE">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A80CFE">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A80CF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A80CFE">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A80CFE">
            <w:pPr>
              <w:spacing w:before="120"/>
              <w:ind w:left="248"/>
              <w:rPr>
                <w:rFonts w:ascii="Times New Roman" w:hAnsi="Times New Roman"/>
                <w:color w:val="000000"/>
                <w:sz w:val="22"/>
                <w:szCs w:val="22"/>
              </w:rPr>
            </w:pP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A80CFE">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A80CF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A80CF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A80CFE">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A80CFE">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A80CFE">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A80CFE">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A80CFE">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A80CFE">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A80CFE">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A80CFE">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A80CFE">
            <w:pPr>
              <w:spacing w:before="120"/>
              <w:ind w:left="-35"/>
              <w:jc w:val="center"/>
              <w:rPr>
                <w:rFonts w:ascii="Times New Roman" w:hAnsi="Times New Roman"/>
                <w:color w:val="000000"/>
                <w:sz w:val="22"/>
                <w:szCs w:val="22"/>
              </w:rPr>
            </w:pPr>
          </w:p>
          <w:p w:rsidR="00811EB9" w:rsidRDefault="00151F74" w:rsidP="00A80CFE">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5 </w:t>
            </w:r>
            <w:r w:rsidR="00811EB9">
              <w:rPr>
                <w:rFonts w:ascii="Times New Roman" w:hAnsi="Times New Roman"/>
                <w:color w:val="000000"/>
                <w:sz w:val="22"/>
                <w:szCs w:val="22"/>
              </w:rPr>
              <w:t xml:space="preserve"> років (місяців, днів) з дати набрання чинності цим договором</w:t>
            </w:r>
          </w:p>
        </w:tc>
      </w:tr>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A80CFE">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A80CFE">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A80CFE">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A80CFE">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A80CFE">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A80CFE">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A80CFE">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A80CFE">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A80CF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A80CF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A80CF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A80CF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A80CFE">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11EB9" w:rsidRDefault="00A80CFE" w:rsidP="00A80CFE">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206185">
              <w:rPr>
                <w:rFonts w:ascii="Times New Roman" w:hAnsi="Times New Roman"/>
                <w:color w:val="000000"/>
                <w:sz w:val="22"/>
                <w:szCs w:val="22"/>
                <w:lang w:val="ru-RU"/>
              </w:rPr>
              <w:t xml:space="preserve">458201720343121001200084988 </w:t>
            </w:r>
            <w:r w:rsidR="00206185">
              <w:rPr>
                <w:rFonts w:ascii="Times New Roman" w:hAnsi="Times New Roman"/>
                <w:color w:val="000000"/>
                <w:sz w:val="22"/>
                <w:szCs w:val="22"/>
              </w:rPr>
              <w:t xml:space="preserve"> в ДКСУ  МФО </w:t>
            </w:r>
            <w:r w:rsidRPr="00206185">
              <w:rPr>
                <w:rFonts w:ascii="Times New Roman" w:hAnsi="Times New Roman"/>
                <w:color w:val="000000"/>
                <w:sz w:val="22"/>
                <w:szCs w:val="22"/>
                <w:lang w:val="ru-RU"/>
              </w:rPr>
              <w:t>82172</w:t>
            </w:r>
          </w:p>
          <w:p w:rsidR="00206185" w:rsidRPr="00206185" w:rsidRDefault="00206185" w:rsidP="00A80CFE">
            <w:pPr>
              <w:spacing w:before="120"/>
              <w:rPr>
                <w:rFonts w:ascii="Times New Roman" w:hAnsi="Times New Roman"/>
                <w:color w:val="000000"/>
                <w:sz w:val="22"/>
                <w:szCs w:val="22"/>
              </w:rPr>
            </w:pPr>
            <w:r>
              <w:rPr>
                <w:rFonts w:ascii="Times New Roman" w:hAnsi="Times New Roman"/>
                <w:color w:val="000000"/>
                <w:sz w:val="22"/>
                <w:szCs w:val="22"/>
              </w:rPr>
              <w:t>ЄДРПОУ 28517250</w:t>
            </w:r>
          </w:p>
        </w:tc>
        <w:tc>
          <w:tcPr>
            <w:tcW w:w="2281" w:type="dxa"/>
            <w:gridSpan w:val="2"/>
            <w:tcBorders>
              <w:top w:val="single" w:sz="4" w:space="0" w:color="000000"/>
              <w:left w:val="nil"/>
              <w:bottom w:val="single" w:sz="4" w:space="0" w:color="000000"/>
              <w:right w:val="single" w:sz="4" w:space="0" w:color="000000"/>
            </w:tcBorders>
          </w:tcPr>
          <w:p w:rsidR="00A80CFE" w:rsidRPr="003A592B" w:rsidRDefault="00A80CFE" w:rsidP="00A80CFE">
            <w:pPr>
              <w:pStyle w:val="2"/>
              <w:spacing w:line="240" w:lineRule="auto"/>
              <w:ind w:left="-75"/>
              <w:jc w:val="both"/>
              <w:rPr>
                <w:sz w:val="22"/>
                <w:szCs w:val="22"/>
                <w:lang w:val="uk-UA"/>
              </w:rPr>
            </w:pPr>
            <w:r w:rsidRPr="00A80CFE">
              <w:rPr>
                <w:sz w:val="22"/>
                <w:szCs w:val="22"/>
                <w:lang w:val="uk-UA"/>
              </w:rPr>
              <w:t>обл./</w:t>
            </w:r>
            <w:proofErr w:type="spellStart"/>
            <w:r w:rsidRPr="00A80CFE">
              <w:rPr>
                <w:sz w:val="22"/>
                <w:szCs w:val="22"/>
                <w:lang w:val="uk-UA"/>
              </w:rPr>
              <w:t>м.Львів</w:t>
            </w:r>
            <w:proofErr w:type="spellEnd"/>
            <w:r w:rsidRPr="00A80CFE">
              <w:rPr>
                <w:sz w:val="22"/>
                <w:szCs w:val="22"/>
                <w:lang w:val="uk-UA"/>
              </w:rPr>
              <w:t xml:space="preserve">/22080200, код </w:t>
            </w:r>
            <w:proofErr w:type="spellStart"/>
            <w:r w:rsidRPr="00A80CFE">
              <w:rPr>
                <w:sz w:val="22"/>
                <w:szCs w:val="22"/>
                <w:lang w:val="uk-UA"/>
              </w:rPr>
              <w:t>отримувача</w:t>
            </w:r>
            <w:proofErr w:type="spellEnd"/>
            <w:r w:rsidRPr="00A80CFE">
              <w:rPr>
                <w:sz w:val="22"/>
                <w:szCs w:val="22"/>
                <w:lang w:val="uk-UA"/>
              </w:rPr>
              <w:t xml:space="preserve"> (ЄДРПОУ): 38008294, банк </w:t>
            </w:r>
            <w:proofErr w:type="spellStart"/>
            <w:r w:rsidRPr="00A80CFE">
              <w:rPr>
                <w:sz w:val="22"/>
                <w:szCs w:val="22"/>
                <w:lang w:val="uk-UA"/>
              </w:rPr>
              <w:t>отримувача</w:t>
            </w:r>
            <w:proofErr w:type="spellEnd"/>
            <w:r w:rsidRPr="00A80CFE">
              <w:rPr>
                <w:sz w:val="22"/>
                <w:szCs w:val="22"/>
                <w:lang w:val="uk-UA"/>
              </w:rPr>
              <w:t xml:space="preserve">: Казначейство України (ЕАП), код банку(МФО): 899998, номер рахунку: </w:t>
            </w:r>
            <w:r w:rsidRPr="00E136F2">
              <w:rPr>
                <w:sz w:val="22"/>
                <w:szCs w:val="22"/>
                <w:lang w:val="en-US"/>
              </w:rPr>
              <w:t>UA</w:t>
            </w:r>
            <w:r w:rsidRPr="00A80CFE">
              <w:rPr>
                <w:sz w:val="22"/>
                <w:szCs w:val="22"/>
                <w:lang w:val="uk-UA"/>
              </w:rPr>
              <w:t>468999980313060093000013933 (код класифікації доходів бюджету 22080200)</w:t>
            </w:r>
            <w:r w:rsidRPr="003A592B">
              <w:rPr>
                <w:sz w:val="22"/>
                <w:szCs w:val="22"/>
                <w:lang w:val="uk-UA"/>
              </w:rPr>
              <w:t>;</w:t>
            </w:r>
          </w:p>
          <w:p w:rsidR="00811EB9" w:rsidRDefault="00811EB9" w:rsidP="00A80CFE">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811EB9" w:rsidRDefault="00A80CFE" w:rsidP="00A80CFE">
            <w:pPr>
              <w:spacing w:before="120"/>
              <w:rPr>
                <w:rFonts w:ascii="Times New Roman" w:hAnsi="Times New Roman"/>
                <w:color w:val="000000"/>
                <w:sz w:val="22"/>
                <w:szCs w:val="22"/>
              </w:rPr>
            </w:pPr>
            <w:r w:rsidRPr="00FA4D3B">
              <w:rPr>
                <w:rFonts w:ascii="Times New Roman" w:hAnsi="Times New Roman"/>
                <w:color w:val="000000"/>
                <w:sz w:val="22"/>
                <w:szCs w:val="22"/>
              </w:rPr>
              <w:t xml:space="preserve">Одержувач: РВ ФДМУ по Львівській, Закарпатській та Волинській областях ЄДРПОУ 42899921 Банк ДКСУ </w:t>
            </w:r>
            <w:proofErr w:type="spellStart"/>
            <w:r w:rsidRPr="00FA4D3B">
              <w:rPr>
                <w:rFonts w:ascii="Times New Roman" w:hAnsi="Times New Roman"/>
                <w:color w:val="000000"/>
                <w:sz w:val="22"/>
                <w:szCs w:val="22"/>
              </w:rPr>
              <w:t>м.Київ</w:t>
            </w:r>
            <w:proofErr w:type="spellEnd"/>
            <w:r w:rsidRPr="00FA4D3B">
              <w:rPr>
                <w:rFonts w:ascii="Times New Roman" w:hAnsi="Times New Roman"/>
                <w:color w:val="000000"/>
                <w:sz w:val="22"/>
                <w:szCs w:val="22"/>
              </w:rPr>
              <w:t>, МФО 820172 рахунок UA 878201720355239001001157855</w:t>
            </w:r>
          </w:p>
        </w:tc>
      </w:tr>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206185" w:rsidP="00A80CF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w:t>
            </w:r>
            <w:r w:rsidR="00811EB9">
              <w:rPr>
                <w:rFonts w:ascii="Times New Roman" w:hAnsi="Times New Roman"/>
                <w:color w:val="000000"/>
                <w:sz w:val="22"/>
                <w:szCs w:val="22"/>
              </w:rPr>
              <w:t xml:space="preserve">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206185" w:rsidP="00A80CFE">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50 </w:t>
            </w:r>
            <w:r w:rsidR="00811EB9">
              <w:rPr>
                <w:rFonts w:ascii="Times New Roman" w:hAnsi="Times New Roman"/>
                <w:color w:val="000000"/>
                <w:sz w:val="22"/>
                <w:szCs w:val="22"/>
              </w:rPr>
              <w:t>відсотків суми орендної плати</w:t>
            </w:r>
          </w:p>
          <w:p w:rsidR="00811EB9" w:rsidRDefault="00811EB9" w:rsidP="00A80CFE">
            <w:pPr>
              <w:spacing w:before="120"/>
              <w:rPr>
                <w:rFonts w:ascii="Times New Roman" w:hAnsi="Times New Roman"/>
                <w:color w:val="000000"/>
                <w:sz w:val="22"/>
                <w:szCs w:val="22"/>
              </w:rPr>
            </w:pPr>
          </w:p>
        </w:tc>
      </w:tr>
      <w:tr w:rsidR="00811EB9" w:rsidTr="00A80CF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A80CFE">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A80CFE">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A80CFE">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A80CFE">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A80CFE">
        <w:trPr>
          <w:trHeight w:val="333"/>
          <w:jc w:val="center"/>
        </w:trPr>
        <w:tc>
          <w:tcPr>
            <w:tcW w:w="4154"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A80CFE">
        <w:trPr>
          <w:trHeight w:val="315"/>
          <w:jc w:val="center"/>
        </w:trPr>
        <w:tc>
          <w:tcPr>
            <w:tcW w:w="4154"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A80CFE">
        <w:trPr>
          <w:trHeight w:val="420"/>
          <w:jc w:val="center"/>
        </w:trPr>
        <w:tc>
          <w:tcPr>
            <w:tcW w:w="4154"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A80CFE">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A80CFE">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3C" w:rsidRDefault="00716B3C" w:rsidP="00915913">
      <w:r>
        <w:separator/>
      </w:r>
    </w:p>
  </w:endnote>
  <w:endnote w:type="continuationSeparator" w:id="0">
    <w:p w:rsidR="00716B3C" w:rsidRDefault="00716B3C" w:rsidP="0091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3C" w:rsidRDefault="00716B3C" w:rsidP="00915913">
      <w:r>
        <w:separator/>
      </w:r>
    </w:p>
  </w:footnote>
  <w:footnote w:type="continuationSeparator" w:id="0">
    <w:p w:rsidR="00716B3C" w:rsidRDefault="00716B3C" w:rsidP="00915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FE" w:rsidRDefault="00A80CFE">
    <w:pPr>
      <w:framePr w:wrap="around" w:vAnchor="text" w:hAnchor="margin" w:xAlign="center" w:y="1"/>
    </w:pPr>
    <w:fldSimple w:instr="PAGE  ">
      <w:r>
        <w:rPr>
          <w:noProof/>
        </w:rPr>
        <w:t>1</w:t>
      </w:r>
    </w:fldSimple>
  </w:p>
  <w:p w:rsidR="00A80CFE" w:rsidRDefault="00A80C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FE" w:rsidRDefault="00A80CFE">
    <w:pPr>
      <w:framePr w:wrap="around" w:vAnchor="text" w:hAnchor="margin" w:xAlign="center" w:y="1"/>
    </w:pPr>
    <w:fldSimple w:instr="PAGE  ">
      <w:r w:rsidR="00151F74">
        <w:rPr>
          <w:noProof/>
        </w:rPr>
        <w:t>7</w:t>
      </w:r>
    </w:fldSimple>
  </w:p>
  <w:p w:rsidR="00A80CFE" w:rsidRDefault="00A80CF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12D90"/>
    <w:rsid w:val="000F485E"/>
    <w:rsid w:val="00151F74"/>
    <w:rsid w:val="00206185"/>
    <w:rsid w:val="003929E7"/>
    <w:rsid w:val="003E7B18"/>
    <w:rsid w:val="005228F5"/>
    <w:rsid w:val="005D08F9"/>
    <w:rsid w:val="0071367E"/>
    <w:rsid w:val="00716B3C"/>
    <w:rsid w:val="00811EB9"/>
    <w:rsid w:val="00903D24"/>
    <w:rsid w:val="00915913"/>
    <w:rsid w:val="00A80CFE"/>
    <w:rsid w:val="00C071E8"/>
    <w:rsid w:val="00DD13A1"/>
    <w:rsid w:val="00F334E8"/>
    <w:rsid w:val="00F90C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styleId="2">
    <w:name w:val="Body Text Indent 2"/>
    <w:basedOn w:val="a"/>
    <w:link w:val="20"/>
    <w:rsid w:val="00A80CFE"/>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A80CFE"/>
    <w:rPr>
      <w:rFonts w:eastAsia="Times New Roman" w:cs="Times New Roman"/>
      <w:sz w:val="20"/>
      <w:szCs w:val="20"/>
      <w:lang w:val="ru-RU" w:eastAsia="uk-UA"/>
    </w:rPr>
  </w:style>
  <w:style w:type="character" w:customStyle="1" w:styleId="a5">
    <w:name w:val="Печатная машинка"/>
    <w:rsid w:val="00A80CFE"/>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38652</Words>
  <Characters>22032</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12</cp:revision>
  <dcterms:created xsi:type="dcterms:W3CDTF">2020-09-14T05:52:00Z</dcterms:created>
  <dcterms:modified xsi:type="dcterms:W3CDTF">2021-04-16T13:38:00Z</dcterms:modified>
</cp:coreProperties>
</file>