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3"/>
        <w:gridCol w:w="5232"/>
      </w:tblGrid>
      <w:tr w:rsidR="00C01AF4" w:rsidRPr="00C01AF4" w:rsidTr="00696DDD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C01AF4" w:rsidRPr="00C01AF4" w:rsidRDefault="00C01AF4" w:rsidP="00794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C01AF4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через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майна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державного майна,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аукціоні</w:t>
            </w:r>
            <w:bookmarkEnd w:id="0"/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  <w:b/>
                <w:bCs/>
              </w:rPr>
            </w:pPr>
            <w:r w:rsidRPr="00C01AF4">
              <w:rPr>
                <w:rFonts w:ascii="Times New Roman" w:hAnsi="Times New Roman" w:cs="Times New Roman"/>
                <w:b/>
                <w:bCs/>
              </w:rPr>
              <w:t xml:space="preserve">Ключ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  <w:b/>
                <w:bCs/>
              </w:rPr>
            </w:pPr>
            <w:r w:rsidRPr="00C01AF4">
              <w:rPr>
                <w:rFonts w:ascii="Times New Roman" w:hAnsi="Times New Roman" w:cs="Times New Roman"/>
                <w:b/>
                <w:bCs/>
              </w:rPr>
              <w:t>5922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6F3DC0" w:rsidP="00C01AF4">
            <w:pPr>
              <w:rPr>
                <w:rFonts w:ascii="Times New Roman" w:hAnsi="Times New Roman" w:cs="Times New Roman"/>
              </w:rPr>
            </w:pPr>
            <w:r w:rsidRPr="006F3DC0">
              <w:rPr>
                <w:rFonts w:ascii="Times New Roman" w:hAnsi="Times New Roman" w:cs="Times New Roman"/>
                <w:lang w:val="uk-UA"/>
              </w:rPr>
              <w:t>Оренда державного нерухомого майна – нежитлового вбуд</w:t>
            </w:r>
            <w:r>
              <w:rPr>
                <w:rFonts w:ascii="Times New Roman" w:hAnsi="Times New Roman" w:cs="Times New Roman"/>
                <w:lang w:val="uk-UA"/>
              </w:rPr>
              <w:t>ованого приміщення,  площею 16,2</w:t>
            </w:r>
            <w:r w:rsidRPr="006F3D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F3DC0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F3DC0">
              <w:rPr>
                <w:rFonts w:ascii="Times New Roman" w:hAnsi="Times New Roman" w:cs="Times New Roman"/>
                <w:lang w:val="uk-UA"/>
              </w:rPr>
              <w:t xml:space="preserve">, на 1-му поверсі 2-поверхової будівлі відділення (літ. А), за </w:t>
            </w:r>
            <w:proofErr w:type="spellStart"/>
            <w:r w:rsidRPr="006F3DC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6F3DC0">
              <w:rPr>
                <w:rFonts w:ascii="Times New Roman" w:hAnsi="Times New Roman" w:cs="Times New Roman"/>
                <w:lang w:val="uk-UA"/>
              </w:rPr>
              <w:t xml:space="preserve">: 24800, Вінницька обл., смт </w:t>
            </w:r>
            <w:proofErr w:type="spellStart"/>
            <w:r w:rsidRPr="006F3DC0">
              <w:rPr>
                <w:rFonts w:ascii="Times New Roman" w:hAnsi="Times New Roman" w:cs="Times New Roman"/>
                <w:lang w:val="uk-UA"/>
              </w:rPr>
              <w:t>Чечельник</w:t>
            </w:r>
            <w:proofErr w:type="spellEnd"/>
            <w:r w:rsidRPr="006F3DC0">
              <w:rPr>
                <w:rFonts w:ascii="Times New Roman" w:hAnsi="Times New Roman" w:cs="Times New Roman"/>
                <w:lang w:val="uk-UA"/>
              </w:rPr>
              <w:t>, вул. Свято-Михайлівська (колишня Котовського), 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232" w:type="dxa"/>
            <w:hideMark/>
          </w:tcPr>
          <w:p w:rsidR="00C01AF4" w:rsidRPr="00CD4691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D4691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CD4691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4691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232" w:type="dxa"/>
            <w:hideMark/>
          </w:tcPr>
          <w:p w:rsidR="00C01AF4" w:rsidRPr="00CD4691" w:rsidRDefault="00696DDD">
            <w:pPr>
              <w:rPr>
                <w:rFonts w:ascii="Times New Roman" w:hAnsi="Times New Roman" w:cs="Times New Roman"/>
                <w:b/>
                <w:bCs/>
              </w:rPr>
            </w:pPr>
            <w:r w:rsidRPr="00CD4691">
              <w:rPr>
                <w:rFonts w:ascii="Times New Roman" w:hAnsi="Times New Roman" w:cs="Times New Roman"/>
                <w:bCs/>
              </w:rPr>
              <w:t xml:space="preserve">21018, м. </w:t>
            </w:r>
            <w:proofErr w:type="spellStart"/>
            <w:r w:rsidRPr="00CD4691">
              <w:rPr>
                <w:rFonts w:ascii="Times New Roman" w:hAnsi="Times New Roman" w:cs="Times New Roman"/>
                <w:bCs/>
              </w:rPr>
              <w:t>Вінниця</w:t>
            </w:r>
            <w:proofErr w:type="spellEnd"/>
            <w:r w:rsidRPr="00CD46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D4691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D4691">
              <w:rPr>
                <w:rFonts w:ascii="Times New Roman" w:hAnsi="Times New Roman" w:cs="Times New Roman"/>
                <w:bCs/>
              </w:rPr>
              <w:t>. Гоголя, 10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32" w:type="dxa"/>
            <w:hideMark/>
          </w:tcPr>
          <w:p w:rsidR="00C01AF4" w:rsidRPr="00CD4691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D4691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казначейської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D4691">
              <w:rPr>
                <w:rFonts w:ascii="Times New Roman" w:hAnsi="Times New Roman" w:cs="Times New Roman"/>
              </w:rPr>
              <w:t>Чечельницькому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Вінницької</w:t>
            </w:r>
            <w:proofErr w:type="spellEnd"/>
            <w:r w:rsidRPr="00CD4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91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32" w:type="dxa"/>
            <w:hideMark/>
          </w:tcPr>
          <w:p w:rsidR="00C01AF4" w:rsidRPr="00CD4691" w:rsidRDefault="00C01AF4">
            <w:pPr>
              <w:rPr>
                <w:rFonts w:ascii="Times New Roman" w:hAnsi="Times New Roman" w:cs="Times New Roman"/>
              </w:rPr>
            </w:pPr>
            <w:r w:rsidRPr="00CD4691">
              <w:rPr>
                <w:rFonts w:ascii="Times New Roman" w:hAnsi="Times New Roman" w:cs="Times New Roman"/>
              </w:rPr>
              <w:t>37647658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232" w:type="dxa"/>
            <w:hideMark/>
          </w:tcPr>
          <w:p w:rsidR="00696DDD" w:rsidRPr="00CD4691" w:rsidRDefault="00696DDD" w:rsidP="00C01AF4">
            <w:pPr>
              <w:rPr>
                <w:rFonts w:ascii="Times New Roman" w:hAnsi="Times New Roman" w:cs="Times New Roman"/>
                <w:lang w:val="uk-UA"/>
              </w:rPr>
            </w:pPr>
            <w:r w:rsidRPr="00CD4691">
              <w:rPr>
                <w:rFonts w:ascii="Times New Roman" w:hAnsi="Times New Roman" w:cs="Times New Roman"/>
                <w:lang w:val="uk-UA"/>
              </w:rPr>
              <w:t xml:space="preserve">24800, Вінницька обл., смт </w:t>
            </w:r>
            <w:proofErr w:type="spellStart"/>
            <w:r w:rsidRPr="00CD4691">
              <w:rPr>
                <w:rFonts w:ascii="Times New Roman" w:hAnsi="Times New Roman" w:cs="Times New Roman"/>
                <w:lang w:val="uk-UA"/>
              </w:rPr>
              <w:t>Чечельник</w:t>
            </w:r>
            <w:proofErr w:type="spellEnd"/>
            <w:r w:rsidRPr="00CD469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01AF4" w:rsidRPr="00CD4691" w:rsidRDefault="00696DDD" w:rsidP="00C01AF4">
            <w:pPr>
              <w:rPr>
                <w:rFonts w:ascii="Times New Roman" w:hAnsi="Times New Roman" w:cs="Times New Roman"/>
                <w:b/>
                <w:bCs/>
              </w:rPr>
            </w:pPr>
            <w:r w:rsidRPr="00CD4691">
              <w:rPr>
                <w:rFonts w:ascii="Times New Roman" w:hAnsi="Times New Roman" w:cs="Times New Roman"/>
                <w:lang w:val="uk-UA"/>
              </w:rPr>
              <w:t>вул. Свято-Михайлівська, 7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6F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нерухоме майно</w:t>
            </w:r>
            <w:r w:rsidRPr="006F3DC0"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 xml:space="preserve">нежитлове </w:t>
            </w:r>
            <w:r w:rsidRPr="006F3DC0">
              <w:rPr>
                <w:rFonts w:ascii="Times New Roman" w:hAnsi="Times New Roman" w:cs="Times New Roman"/>
                <w:lang w:val="uk-UA"/>
              </w:rPr>
              <w:t>вбуд</w:t>
            </w:r>
            <w:r>
              <w:rPr>
                <w:rFonts w:ascii="Times New Roman" w:hAnsi="Times New Roman" w:cs="Times New Roman"/>
                <w:lang w:val="uk-UA"/>
              </w:rPr>
              <w:t>оване</w:t>
            </w:r>
            <w:r w:rsidRPr="006F3DC0">
              <w:rPr>
                <w:rFonts w:ascii="Times New Roman" w:hAnsi="Times New Roman" w:cs="Times New Roman"/>
                <w:lang w:val="uk-UA"/>
              </w:rPr>
              <w:t xml:space="preserve"> 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(№26 за даними БТІ)</w:t>
            </w:r>
            <w:r w:rsidRPr="006F3DC0">
              <w:rPr>
                <w:rFonts w:ascii="Times New Roman" w:hAnsi="Times New Roman" w:cs="Times New Roman"/>
                <w:lang w:val="uk-UA"/>
              </w:rPr>
              <w:t xml:space="preserve">,  площею 16,2 </w:t>
            </w:r>
            <w:proofErr w:type="spellStart"/>
            <w:r w:rsidRPr="006F3DC0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F3DC0">
              <w:rPr>
                <w:rFonts w:ascii="Times New Roman" w:hAnsi="Times New Roman" w:cs="Times New Roman"/>
                <w:lang w:val="uk-UA"/>
              </w:rPr>
              <w:t xml:space="preserve">, на 1-му поверсі 2-поверхової будівлі відділення (літ. А), за </w:t>
            </w:r>
            <w:proofErr w:type="spellStart"/>
            <w:r w:rsidRPr="006F3DC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6F3DC0">
              <w:rPr>
                <w:rFonts w:ascii="Times New Roman" w:hAnsi="Times New Roman" w:cs="Times New Roman"/>
                <w:lang w:val="uk-UA"/>
              </w:rPr>
              <w:t xml:space="preserve">: 24800, Вінницька обл., смт </w:t>
            </w:r>
            <w:proofErr w:type="spellStart"/>
            <w:r w:rsidRPr="006F3DC0">
              <w:rPr>
                <w:rFonts w:ascii="Times New Roman" w:hAnsi="Times New Roman" w:cs="Times New Roman"/>
                <w:lang w:val="uk-UA"/>
              </w:rPr>
              <w:t>Чечельник</w:t>
            </w:r>
            <w:proofErr w:type="spellEnd"/>
            <w:r w:rsidRPr="006F3DC0">
              <w:rPr>
                <w:rFonts w:ascii="Times New Roman" w:hAnsi="Times New Roman" w:cs="Times New Roman"/>
                <w:lang w:val="uk-UA"/>
              </w:rPr>
              <w:t>, вул. Свято-Михайлівська (колишня Котовського), 7.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типу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Залишкова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1 334,66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Первісна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2 901,31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майно</w:t>
            </w:r>
            <w:proofErr w:type="spellEnd"/>
          </w:p>
        </w:tc>
      </w:tr>
      <w:tr w:rsidR="00C01AF4" w:rsidRPr="00C01AF4" w:rsidTr="00696DDD">
        <w:trPr>
          <w:trHeight w:val="127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https://drive.google.com/open?id=171BGvXxxI_zphvmAXk0u0f3hDdX979f2, https://drive.google.com/open?id=1VjJHB8Moo0mDJqdar_VfobaN_PU0hzB4, https://drive.google.com/open?id=17XBmNiNVri0b07hFs_lDonTbOsg9BSF_</w:t>
            </w:r>
          </w:p>
        </w:tc>
      </w:tr>
      <w:tr w:rsidR="00C01AF4" w:rsidRPr="00C01AF4" w:rsidTr="00696DDD">
        <w:trPr>
          <w:trHeight w:val="28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32" w:type="dxa"/>
            <w:hideMark/>
          </w:tcPr>
          <w:p w:rsidR="00696DDD" w:rsidRPr="00696DDD" w:rsidRDefault="00696DDD" w:rsidP="00696DDD">
            <w:pPr>
              <w:rPr>
                <w:rFonts w:ascii="Times New Roman" w:hAnsi="Times New Roman" w:cs="Times New Roman"/>
                <w:lang w:val="uk-UA"/>
              </w:rPr>
            </w:pPr>
            <w:r w:rsidRPr="00696DDD">
              <w:rPr>
                <w:rFonts w:ascii="Times New Roman" w:hAnsi="Times New Roman" w:cs="Times New Roman"/>
                <w:lang w:val="uk-UA"/>
              </w:rPr>
              <w:t xml:space="preserve">24800, Вінницька обл., смт </w:t>
            </w:r>
            <w:proofErr w:type="spellStart"/>
            <w:r w:rsidRPr="00696DDD">
              <w:rPr>
                <w:rFonts w:ascii="Times New Roman" w:hAnsi="Times New Roman" w:cs="Times New Roman"/>
                <w:lang w:val="uk-UA"/>
              </w:rPr>
              <w:t>Чечельник</w:t>
            </w:r>
            <w:proofErr w:type="spellEnd"/>
            <w:r w:rsidRPr="00696DDD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01AF4" w:rsidRPr="00C01AF4" w:rsidRDefault="00696DDD" w:rsidP="00696DDD">
            <w:pPr>
              <w:rPr>
                <w:rFonts w:ascii="Times New Roman" w:hAnsi="Times New Roman" w:cs="Times New Roman"/>
              </w:rPr>
            </w:pPr>
            <w:r w:rsidRPr="00696DDD">
              <w:rPr>
                <w:rFonts w:ascii="Times New Roman" w:hAnsi="Times New Roman" w:cs="Times New Roman"/>
                <w:lang w:val="uk-UA"/>
              </w:rPr>
              <w:t>вул. Свято-Михайлівська (колишня Котовського), 7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16,2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16,2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  <w:u w:val="single"/>
              </w:rPr>
            </w:pPr>
            <w:r w:rsidRPr="00C01AF4">
              <w:rPr>
                <w:rFonts w:ascii="Times New Roman" w:hAnsi="Times New Roman" w:cs="Times New Roman"/>
                <w:u w:val="single"/>
              </w:rPr>
              <w:t>https://drive.google.com/open?id=1Gri_EbI8XKIjb4ZxYsoIeyIB0UZa5xhn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30-апр-2021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617/1</w:t>
            </w:r>
          </w:p>
        </w:tc>
      </w:tr>
      <w:tr w:rsidR="00696DDD" w:rsidRPr="00C01AF4" w:rsidTr="00332A29">
        <w:trPr>
          <w:trHeight w:val="510"/>
        </w:trPr>
        <w:tc>
          <w:tcPr>
            <w:tcW w:w="9345" w:type="dxa"/>
            <w:gridSpan w:val="2"/>
            <w:hideMark/>
          </w:tcPr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Чи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C01AF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так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40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lastRenderedPageBreak/>
              <w:t>Ступінь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ступінь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є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є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C01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є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є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C01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C01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696DDD" w:rsidRPr="00C01AF4" w:rsidTr="005577EE">
        <w:trPr>
          <w:trHeight w:val="255"/>
        </w:trPr>
        <w:tc>
          <w:tcPr>
            <w:tcW w:w="9345" w:type="dxa"/>
            <w:gridSpan w:val="2"/>
            <w:hideMark/>
          </w:tcPr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що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696D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C368A4" w:rsidRDefault="00696DDD" w:rsidP="00696D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C368A4">
              <w:rPr>
                <w:rFonts w:ascii="Times New Roman" w:hAnsi="Times New Roman" w:cs="Times New Roman"/>
              </w:rPr>
              <w:t>3</w:t>
            </w:r>
            <w:r w:rsidR="00C368A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із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696DDD" w:rsidRDefault="00C368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6,68</w:t>
            </w: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696DDD" w:rsidRDefault="00C368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6,68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яким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або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може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бути 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яким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передбачене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абзацом</w:t>
            </w:r>
            <w:proofErr w:type="spellEnd"/>
            <w:r w:rsidR="006F3D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1AF4">
              <w:rPr>
                <w:rFonts w:ascii="Times New Roman" w:hAnsi="Times New Roman" w:cs="Times New Roman"/>
              </w:rPr>
              <w:t>10 пункту 29 Порядку.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щодо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0</w:t>
            </w: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0</w:t>
            </w:r>
          </w:p>
        </w:tc>
      </w:tr>
      <w:tr w:rsidR="00C01AF4" w:rsidRPr="00C01AF4" w:rsidTr="00CD4691">
        <w:trPr>
          <w:trHeight w:val="841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може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яким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крім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груп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груп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із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груп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може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із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C01AF4">
              <w:rPr>
                <w:rFonts w:ascii="Times New Roman" w:hAnsi="Times New Roman" w:cs="Times New Roman"/>
              </w:rPr>
              <w:lastRenderedPageBreak/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lastRenderedPageBreak/>
              <w:t>Наявність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0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0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майном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що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дані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232" w:type="dxa"/>
            <w:hideMark/>
          </w:tcPr>
          <w:p w:rsidR="00696DDD" w:rsidRPr="00696DDD" w:rsidRDefault="00696DDD" w:rsidP="00696DD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6DDD">
              <w:rPr>
                <w:rFonts w:ascii="Times New Roman" w:hAnsi="Times New Roman" w:cs="Times New Roman"/>
                <w:lang w:val="uk-UA"/>
              </w:rPr>
              <w:t>Козеренко</w:t>
            </w:r>
            <w:proofErr w:type="spellEnd"/>
            <w:r w:rsidRPr="00696DDD">
              <w:rPr>
                <w:rFonts w:ascii="Times New Roman" w:hAnsi="Times New Roman" w:cs="Times New Roman"/>
                <w:lang w:val="uk-UA"/>
              </w:rPr>
              <w:t xml:space="preserve"> Ірина Євгенівна</w:t>
            </w:r>
          </w:p>
          <w:p w:rsidR="00C01AF4" w:rsidRPr="00C01AF4" w:rsidRDefault="00696DDD" w:rsidP="00696DDD">
            <w:pPr>
              <w:rPr>
                <w:rFonts w:ascii="Times New Roman" w:hAnsi="Times New Roman" w:cs="Times New Roman"/>
              </w:rPr>
            </w:pPr>
            <w:r w:rsidRPr="00696DDD">
              <w:rPr>
                <w:rFonts w:ascii="Times New Roman" w:hAnsi="Times New Roman" w:cs="Times New Roman"/>
                <w:lang w:val="uk-UA"/>
              </w:rPr>
              <w:t>(04351) 21957 (в робочий час )</w:t>
            </w:r>
          </w:p>
        </w:tc>
      </w:tr>
      <w:tr w:rsidR="00696DDD" w:rsidRPr="00C01AF4" w:rsidTr="00B33C47">
        <w:trPr>
          <w:trHeight w:val="255"/>
        </w:trPr>
        <w:tc>
          <w:tcPr>
            <w:tcW w:w="9345" w:type="dxa"/>
            <w:gridSpan w:val="2"/>
            <w:hideMark/>
          </w:tcPr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1AF4" w:rsidRPr="00C01AF4" w:rsidTr="00696DDD">
        <w:trPr>
          <w:trHeight w:val="1020"/>
        </w:trPr>
        <w:tc>
          <w:tcPr>
            <w:tcW w:w="4113" w:type="dxa"/>
            <w:noWrap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>
              <w:rPr>
                <w:rFonts w:ascii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  <w:r w:rsidRPr="00C01AF4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C01AF4">
              <w:rPr>
                <w:rFonts w:ascii="Times New Roman" w:hAnsi="Times New Roman" w:cs="Times New Roman"/>
              </w:rPr>
              <w:t>.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232" w:type="dxa"/>
            <w:hideMark/>
          </w:tcPr>
          <w:p w:rsidR="00C01AF4" w:rsidRPr="00696DDD" w:rsidRDefault="00696D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C01AF4" w:rsidRPr="00C01AF4" w:rsidTr="00696DDD">
        <w:trPr>
          <w:trHeight w:val="102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червня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2021  року,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що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під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noWrap/>
            <w:hideMark/>
          </w:tcPr>
          <w:p w:rsidR="00C01AF4" w:rsidRPr="00696DDD" w:rsidRDefault="00696D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0,13</w:t>
            </w:r>
          </w:p>
        </w:tc>
      </w:tr>
      <w:tr w:rsidR="00C01AF4" w:rsidRPr="00C01AF4" w:rsidTr="00696DDD">
        <w:trPr>
          <w:trHeight w:val="28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6F3DC0" w:rsidRDefault="006F3D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1838,7</w:t>
            </w:r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600,00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99</w:t>
            </w: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lastRenderedPageBreak/>
              <w:t>електронних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7941C7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C01AF4" w:rsidRPr="00C01AF4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C01AF4" w:rsidRPr="00C01AF4" w:rsidTr="00696DDD">
        <w:trPr>
          <w:trHeight w:val="2399"/>
        </w:trPr>
        <w:tc>
          <w:tcPr>
            <w:tcW w:w="4113" w:type="dxa"/>
            <w:hideMark/>
          </w:tcPr>
          <w:p w:rsid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її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об'єкти</w:t>
            </w:r>
            <w:proofErr w:type="spellEnd"/>
          </w:p>
          <w:p w:rsidR="00696DDD" w:rsidRPr="00C01AF4" w:rsidRDefault="0069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hideMark/>
          </w:tcPr>
          <w:p w:rsidR="00C01AF4" w:rsidRDefault="00696DDD">
            <w:pPr>
              <w:rPr>
                <w:rFonts w:ascii="Times New Roman" w:hAnsi="Times New Roman" w:cs="Times New Roman"/>
              </w:rPr>
            </w:pPr>
            <w:r w:rsidRPr="00696DD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696DDD">
              <w:rPr>
                <w:rFonts w:ascii="Times New Roman" w:hAnsi="Times New Roman" w:cs="Times New Roman"/>
              </w:rPr>
              <w:t>:</w:t>
            </w:r>
            <w:r w:rsidRPr="00696DDD">
              <w:rPr>
                <w:rFonts w:ascii="Times New Roman" w:hAnsi="Times New Roman" w:cs="Times New Roman"/>
              </w:rPr>
              <w:br/>
            </w:r>
            <w:proofErr w:type="spellStart"/>
            <w:r w:rsidRPr="00696DDD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96DDD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696DD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96DDD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6DDD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областях </w:t>
            </w:r>
            <w:r w:rsidRPr="00696DDD">
              <w:rPr>
                <w:rFonts w:ascii="Times New Roman" w:hAnsi="Times New Roman" w:cs="Times New Roman"/>
              </w:rPr>
              <w:br/>
            </w:r>
            <w:proofErr w:type="spellStart"/>
            <w:r w:rsidRPr="00696DDD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6DDD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696DDD">
              <w:rPr>
                <w:rFonts w:ascii="Times New Roman" w:hAnsi="Times New Roman" w:cs="Times New Roman"/>
              </w:rPr>
              <w:t>)</w:t>
            </w:r>
            <w:r w:rsidRPr="00696DDD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696DDD">
              <w:rPr>
                <w:rFonts w:ascii="Times New Roman" w:hAnsi="Times New Roman" w:cs="Times New Roman"/>
              </w:rPr>
              <w:t>: ДКСУ  Код ЄДРПОУ 42964094</w:t>
            </w:r>
            <w:r w:rsidRPr="00696DDD">
              <w:rPr>
                <w:rFonts w:ascii="Times New Roman" w:hAnsi="Times New Roman" w:cs="Times New Roman"/>
              </w:rPr>
              <w:br/>
            </w:r>
            <w:proofErr w:type="spellStart"/>
            <w:r w:rsidRPr="00696DDD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696DDD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DD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696DD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96DDD">
              <w:rPr>
                <w:rFonts w:ascii="Times New Roman" w:hAnsi="Times New Roman" w:cs="Times New Roman"/>
              </w:rPr>
              <w:t>що</w:t>
            </w:r>
            <w:proofErr w:type="spellEnd"/>
            <w:r w:rsidRPr="00696DDD">
              <w:rPr>
                <w:rFonts w:ascii="Times New Roman" w:hAnsi="Times New Roman" w:cs="Times New Roman"/>
              </w:rPr>
              <w:t>)</w:t>
            </w:r>
          </w:p>
          <w:p w:rsidR="00696DDD" w:rsidRPr="00C01AF4" w:rsidRDefault="00696DDD">
            <w:pPr>
              <w:rPr>
                <w:rFonts w:ascii="Times New Roman" w:hAnsi="Times New Roman" w:cs="Times New Roman"/>
              </w:rPr>
            </w:pP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між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із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із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20-35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днів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торговою системою про передачу майна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C01AF4" w:rsidRPr="00C01AF4" w:rsidTr="00696DDD">
        <w:trPr>
          <w:trHeight w:val="102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232" w:type="dxa"/>
            <w:hideMark/>
          </w:tcPr>
          <w:p w:rsidR="00C01AF4" w:rsidRPr="00C01AF4" w:rsidRDefault="007941C7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C01AF4" w:rsidRPr="00C01AF4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696DDD" w:rsidRPr="00C01AF4" w:rsidTr="0084086B">
        <w:trPr>
          <w:trHeight w:val="255"/>
        </w:trPr>
        <w:tc>
          <w:tcPr>
            <w:tcW w:w="9345" w:type="dxa"/>
            <w:gridSpan w:val="2"/>
            <w:hideMark/>
          </w:tcPr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696DDD" w:rsidRPr="00C01AF4" w:rsidRDefault="00696DDD" w:rsidP="00696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Чи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232" w:type="dxa"/>
            <w:hideMark/>
          </w:tcPr>
          <w:p w:rsidR="00C01AF4" w:rsidRPr="00696DDD" w:rsidRDefault="00696DDD" w:rsidP="00696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DDD">
              <w:rPr>
                <w:rFonts w:ascii="Times New Roman" w:hAnsi="Times New Roman" w:cs="Times New Roman"/>
                <w:bCs/>
              </w:rPr>
              <w:t>ні</w:t>
            </w:r>
            <w:proofErr w:type="spellEnd"/>
          </w:p>
        </w:tc>
      </w:tr>
      <w:tr w:rsidR="00C01AF4" w:rsidRPr="00C01AF4" w:rsidTr="00696DDD">
        <w:trPr>
          <w:trHeight w:val="25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232" w:type="dxa"/>
            <w:hideMark/>
          </w:tcPr>
          <w:p w:rsidR="00C01AF4" w:rsidRPr="00696DDD" w:rsidRDefault="00696D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96DDD"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самим закладом</w:t>
            </w:r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>0</w:t>
            </w:r>
          </w:p>
        </w:tc>
      </w:tr>
      <w:tr w:rsidR="00C01AF4" w:rsidRPr="00C01AF4" w:rsidTr="00696DDD">
        <w:trPr>
          <w:trHeight w:val="765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Чи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має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1AF4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її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або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якої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proofErr w:type="spellStart"/>
            <w:r w:rsidRPr="00C01AF4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</w:rPr>
              <w:t>які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  <w:u w:val="single"/>
              </w:rPr>
            </w:pPr>
            <w:r w:rsidRPr="00C01AF4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01AF4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C01AF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32" w:type="dxa"/>
            <w:hideMark/>
          </w:tcPr>
          <w:p w:rsidR="00C01AF4" w:rsidRPr="00C01AF4" w:rsidRDefault="00C01AF4" w:rsidP="00C01AF4">
            <w:pPr>
              <w:rPr>
                <w:rFonts w:ascii="Times New Roman" w:hAnsi="Times New Roman" w:cs="Times New Roman"/>
                <w:b/>
                <w:bCs/>
              </w:rPr>
            </w:pPr>
            <w:r w:rsidRPr="00C01AF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01AF4" w:rsidRPr="00C01AF4" w:rsidTr="00696DDD">
        <w:trPr>
          <w:trHeight w:val="510"/>
        </w:trPr>
        <w:tc>
          <w:tcPr>
            <w:tcW w:w="4113" w:type="dxa"/>
            <w:hideMark/>
          </w:tcPr>
          <w:p w:rsidR="00C01AF4" w:rsidRPr="00C01AF4" w:rsidRDefault="007941C7">
            <w:pPr>
              <w:rPr>
                <w:rFonts w:ascii="Times New Roman" w:hAnsi="Times New Roman" w:cs="Times New Roman"/>
                <w:u w:val="single"/>
              </w:rPr>
            </w:pPr>
            <w:hyperlink r:id="rId6" w:anchor="gid=589654536" w:history="1">
              <w:r w:rsidR="00C01AF4" w:rsidRPr="00C01AF4">
                <w:rPr>
                  <w:rStyle w:val="a3"/>
                  <w:rFonts w:ascii="Times New Roman" w:hAnsi="Times New Roman" w:cs="Times New Roman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232" w:type="dxa"/>
            <w:hideMark/>
          </w:tcPr>
          <w:p w:rsidR="00C01AF4" w:rsidRPr="00C01AF4" w:rsidRDefault="00C01AF4">
            <w:pPr>
              <w:rPr>
                <w:rFonts w:ascii="Times New Roman" w:hAnsi="Times New Roman" w:cs="Times New Roman"/>
              </w:rPr>
            </w:pPr>
            <w:r w:rsidRPr="00C01AF4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C01AF4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C01AF4">
              <w:rPr>
                <w:rFonts w:ascii="Times New Roman" w:hAnsi="Times New Roman" w:cs="Times New Roman"/>
              </w:rPr>
              <w:t xml:space="preserve"> 5922</w:t>
            </w:r>
          </w:p>
        </w:tc>
      </w:tr>
    </w:tbl>
    <w:p w:rsidR="00C74038" w:rsidRPr="00C01AF4" w:rsidRDefault="00C74038" w:rsidP="00CD4691">
      <w:pPr>
        <w:rPr>
          <w:rFonts w:ascii="Times New Roman" w:hAnsi="Times New Roman" w:cs="Times New Roman"/>
        </w:rPr>
      </w:pPr>
    </w:p>
    <w:sectPr w:rsidR="00C74038" w:rsidRPr="00C0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2"/>
    <w:rsid w:val="004616B2"/>
    <w:rsid w:val="00696DDD"/>
    <w:rsid w:val="006F3DC0"/>
    <w:rsid w:val="007941C7"/>
    <w:rsid w:val="00A90AA6"/>
    <w:rsid w:val="00C01AF4"/>
    <w:rsid w:val="00C368A4"/>
    <w:rsid w:val="00C74038"/>
    <w:rsid w:val="00C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D93C-FB0D-4A6C-A762-1FE9768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AF4"/>
    <w:rPr>
      <w:color w:val="1155CC"/>
      <w:u w:val="single"/>
    </w:rPr>
  </w:style>
  <w:style w:type="table" w:styleId="a4">
    <w:name w:val="Table Grid"/>
    <w:basedOn w:val="a1"/>
    <w:uiPriority w:val="39"/>
    <w:rsid w:val="00C0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2021-05-26T08:48:00Z</dcterms:created>
  <dcterms:modified xsi:type="dcterms:W3CDTF">2021-05-26T12:31:00Z</dcterms:modified>
</cp:coreProperties>
</file>