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EE2053" w:rsidRDefault="001C30A8" w:rsidP="00EE2053">
      <w:pPr>
        <w:jc w:val="right"/>
        <w:rPr>
          <w:sz w:val="22"/>
          <w:szCs w:val="22"/>
          <w:lang w:val="uk-UA"/>
        </w:rPr>
      </w:pPr>
      <w:r>
        <w:rPr>
          <w:sz w:val="22"/>
          <w:szCs w:val="22"/>
          <w:lang w:val="uk-UA"/>
        </w:rPr>
        <w:t xml:space="preserve">Додаток </w:t>
      </w:r>
    </w:p>
    <w:p w14:paraId="004D7AB6" w14:textId="7229EB6A" w:rsidR="00EE2053" w:rsidRPr="00EE2053" w:rsidRDefault="00EE2053" w:rsidP="00EE2053">
      <w:pPr>
        <w:jc w:val="right"/>
        <w:rPr>
          <w:sz w:val="22"/>
          <w:szCs w:val="22"/>
          <w:lang w:val="uk-UA"/>
        </w:rPr>
      </w:pPr>
      <w:r w:rsidRPr="00EE2053">
        <w:rPr>
          <w:sz w:val="22"/>
          <w:szCs w:val="22"/>
          <w:lang w:val="uk-UA"/>
        </w:rPr>
        <w:t>Затверджено:</w:t>
      </w:r>
    </w:p>
    <w:p w14:paraId="4D39424F" w14:textId="40504261"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14:paraId="1CB326D9" w14:textId="2EFCFEB3"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14:paraId="07802066" w14:textId="77777777" w:rsidR="006639F2" w:rsidRDefault="00EC3A82" w:rsidP="00493000">
      <w:pPr>
        <w:jc w:val="center"/>
        <w:rPr>
          <w:b/>
          <w:sz w:val="28"/>
          <w:szCs w:val="28"/>
          <w:lang w:val="uk-UA"/>
        </w:rPr>
      </w:pPr>
      <w:r w:rsidRPr="006D48EC">
        <w:rPr>
          <w:b/>
          <w:sz w:val="28"/>
          <w:szCs w:val="28"/>
          <w:lang w:val="uk-UA"/>
        </w:rPr>
        <w:t xml:space="preserve">            </w:t>
      </w:r>
    </w:p>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7561FD8C"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126EE5">
        <w:rPr>
          <w:sz w:val="28"/>
          <w:szCs w:val="28"/>
          <w:lang w:val="uk-UA"/>
        </w:rPr>
        <w:t>____________________________________________________________________________________________________________________</w:t>
      </w:r>
      <w:r w:rsidR="00986537" w:rsidRPr="00986537">
        <w:rPr>
          <w:sz w:val="28"/>
          <w:szCs w:val="28"/>
          <w:lang w:val="uk-UA"/>
        </w:rPr>
        <w:t xml:space="preserve"> </w:t>
      </w:r>
      <w:r w:rsidR="00487C15" w:rsidRPr="006D48EC">
        <w:rPr>
          <w:sz w:val="28"/>
          <w:szCs w:val="28"/>
          <w:lang w:val="uk-UA"/>
        </w:rPr>
        <w:t xml:space="preserve">, який  діє на підставі </w:t>
      </w:r>
      <w:r w:rsidR="00126EE5">
        <w:rPr>
          <w:sz w:val="28"/>
          <w:szCs w:val="28"/>
          <w:lang w:val="uk-UA"/>
        </w:rPr>
        <w:t>_______________________________</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C7EAFB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lastRenderedPageBreak/>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56297883"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C87C4D">
        <w:rPr>
          <w:sz w:val="28"/>
          <w:szCs w:val="28"/>
          <w:lang w:val="uk-UA"/>
        </w:rPr>
        <w:t>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календарних днів з дати рахунку.</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lastRenderedPageBreak/>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 xml:space="preserve">рибути на Склад </w:t>
      </w:r>
      <w:r w:rsidRPr="006D48EC">
        <w:rPr>
          <w:sz w:val="28"/>
          <w:szCs w:val="28"/>
          <w:lang w:val="uk-UA"/>
        </w:rPr>
        <w:lastRenderedPageBreak/>
        <w:t>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lastRenderedPageBreak/>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lastRenderedPageBreak/>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lastRenderedPageBreak/>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w:t>
      </w:r>
      <w:r w:rsidRPr="006D48EC">
        <w:rPr>
          <w:sz w:val="28"/>
          <w:szCs w:val="28"/>
          <w:lang w:val="uk-UA"/>
        </w:rPr>
        <w:lastRenderedPageBreak/>
        <w:t>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w:t>
      </w:r>
      <w:r w:rsidR="00EA76D2" w:rsidRPr="006D48EC">
        <w:rPr>
          <w:sz w:val="28"/>
          <w:szCs w:val="28"/>
          <w:lang w:val="uk-UA"/>
        </w:rPr>
        <w:lastRenderedPageBreak/>
        <w:t>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986537">
        <w:trPr>
          <w:trHeight w:val="764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71211662" w14:textId="77777777" w:rsidR="00986537" w:rsidRDefault="00986537" w:rsidP="00986537">
            <w:pPr>
              <w:jc w:val="center"/>
              <w:rPr>
                <w:b/>
                <w:sz w:val="22"/>
                <w:szCs w:val="22"/>
                <w:lang w:val="uk-UA"/>
              </w:rPr>
            </w:pPr>
            <w:r w:rsidRPr="00493000">
              <w:rPr>
                <w:b/>
                <w:sz w:val="22"/>
                <w:szCs w:val="22"/>
                <w:lang w:val="uk-UA"/>
              </w:rPr>
              <w:t>Продавець</w:t>
            </w:r>
          </w:p>
          <w:p w14:paraId="1D64B4B3" w14:textId="77777777" w:rsidR="00986537" w:rsidRPr="00910E27" w:rsidRDefault="00986537" w:rsidP="00986537">
            <w:pPr>
              <w:jc w:val="center"/>
              <w:rPr>
                <w:b/>
                <w:sz w:val="22"/>
                <w:szCs w:val="22"/>
              </w:rPr>
            </w:pPr>
            <w:proofErr w:type="spellStart"/>
            <w:proofErr w:type="gramStart"/>
            <w:r w:rsidRPr="00910E27">
              <w:rPr>
                <w:b/>
                <w:sz w:val="22"/>
                <w:szCs w:val="22"/>
              </w:rPr>
              <w:t>АТ«</w:t>
            </w:r>
            <w:proofErr w:type="gramEnd"/>
            <w:r w:rsidRPr="00910E27">
              <w:rPr>
                <w:b/>
                <w:sz w:val="22"/>
                <w:szCs w:val="22"/>
              </w:rPr>
              <w:t>Укргазвидобування</w:t>
            </w:r>
            <w:proofErr w:type="spellEnd"/>
            <w:r w:rsidRPr="00910E27">
              <w:rPr>
                <w:b/>
                <w:sz w:val="22"/>
                <w:szCs w:val="22"/>
              </w:rPr>
              <w:t>»</w:t>
            </w:r>
          </w:p>
          <w:p w14:paraId="3B74FDAF" w14:textId="77777777" w:rsidR="00986537" w:rsidRPr="00910E27" w:rsidRDefault="00986537" w:rsidP="00986537">
            <w:pPr>
              <w:jc w:val="center"/>
              <w:rPr>
                <w:b/>
                <w:sz w:val="22"/>
                <w:szCs w:val="22"/>
              </w:rPr>
            </w:pPr>
            <w:r w:rsidRPr="00910E27">
              <w:rPr>
                <w:b/>
                <w:sz w:val="22"/>
                <w:szCs w:val="22"/>
              </w:rPr>
              <w:t>ФБУ “</w:t>
            </w:r>
            <w:proofErr w:type="spellStart"/>
            <w:r w:rsidRPr="00910E27">
              <w:rPr>
                <w:b/>
                <w:sz w:val="22"/>
                <w:szCs w:val="22"/>
              </w:rPr>
              <w:t>Укрбургаз</w:t>
            </w:r>
            <w:proofErr w:type="spellEnd"/>
            <w:r w:rsidRPr="00910E27">
              <w:rPr>
                <w:b/>
                <w:sz w:val="22"/>
                <w:szCs w:val="22"/>
              </w:rPr>
              <w:t>”</w:t>
            </w:r>
          </w:p>
          <w:p w14:paraId="1235076E" w14:textId="77777777" w:rsidR="00986537" w:rsidRPr="004011F9" w:rsidRDefault="00986537" w:rsidP="00986537">
            <w:pPr>
              <w:jc w:val="center"/>
              <w:rPr>
                <w:b/>
              </w:rPr>
            </w:pPr>
          </w:p>
          <w:p w14:paraId="176ACD2C" w14:textId="77777777" w:rsidR="00986537" w:rsidRPr="008647E8" w:rsidRDefault="00986537" w:rsidP="00986537">
            <w:pPr>
              <w:rPr>
                <w:sz w:val="22"/>
                <w:szCs w:val="22"/>
              </w:rPr>
            </w:pPr>
            <w:r w:rsidRPr="008647E8">
              <w:rPr>
                <w:sz w:val="22"/>
                <w:szCs w:val="22"/>
              </w:rPr>
              <w:t xml:space="preserve">Адреса: 63304, </w:t>
            </w:r>
            <w:proofErr w:type="spellStart"/>
            <w:r w:rsidRPr="008647E8">
              <w:rPr>
                <w:sz w:val="22"/>
                <w:szCs w:val="22"/>
              </w:rPr>
              <w:t>Харківська</w:t>
            </w:r>
            <w:proofErr w:type="spellEnd"/>
            <w:r w:rsidRPr="008647E8">
              <w:rPr>
                <w:sz w:val="22"/>
                <w:szCs w:val="22"/>
              </w:rPr>
              <w:t xml:space="preserve"> обл., м. Красноград, </w:t>
            </w:r>
            <w:proofErr w:type="spellStart"/>
            <w:r w:rsidRPr="008647E8">
              <w:rPr>
                <w:sz w:val="22"/>
                <w:szCs w:val="22"/>
              </w:rPr>
              <w:t>вул</w:t>
            </w:r>
            <w:proofErr w:type="spellEnd"/>
            <w:r w:rsidRPr="008647E8">
              <w:rPr>
                <w:sz w:val="22"/>
                <w:szCs w:val="22"/>
              </w:rPr>
              <w:t xml:space="preserve">. </w:t>
            </w:r>
            <w:proofErr w:type="spellStart"/>
            <w:r w:rsidRPr="008647E8">
              <w:rPr>
                <w:sz w:val="22"/>
                <w:szCs w:val="22"/>
              </w:rPr>
              <w:t>Полтавська</w:t>
            </w:r>
            <w:proofErr w:type="spellEnd"/>
            <w:r w:rsidRPr="008647E8">
              <w:rPr>
                <w:sz w:val="22"/>
                <w:szCs w:val="22"/>
              </w:rPr>
              <w:t>, 86</w:t>
            </w:r>
          </w:p>
          <w:p w14:paraId="774DCC06" w14:textId="77777777" w:rsidR="00986537" w:rsidRPr="008647E8" w:rsidRDefault="00986537" w:rsidP="00986537">
            <w:pPr>
              <w:rPr>
                <w:sz w:val="22"/>
                <w:szCs w:val="22"/>
              </w:rPr>
            </w:pPr>
            <w:r w:rsidRPr="008647E8">
              <w:rPr>
                <w:sz w:val="22"/>
                <w:szCs w:val="22"/>
              </w:rPr>
              <w:t>р/р 2600301289336 АБ "</w:t>
            </w:r>
            <w:proofErr w:type="spellStart"/>
            <w:r w:rsidRPr="008647E8">
              <w:rPr>
                <w:sz w:val="22"/>
                <w:szCs w:val="22"/>
              </w:rPr>
              <w:t>Укргазбанк</w:t>
            </w:r>
            <w:proofErr w:type="spellEnd"/>
            <w:r w:rsidRPr="008647E8">
              <w:rPr>
                <w:sz w:val="22"/>
                <w:szCs w:val="22"/>
              </w:rPr>
              <w:t>"</w:t>
            </w:r>
          </w:p>
          <w:p w14:paraId="7E990779" w14:textId="77777777" w:rsidR="00986537" w:rsidRPr="008647E8" w:rsidRDefault="00986537" w:rsidP="00986537">
            <w:pPr>
              <w:rPr>
                <w:sz w:val="22"/>
                <w:szCs w:val="22"/>
              </w:rPr>
            </w:pPr>
            <w:r w:rsidRPr="008647E8">
              <w:rPr>
                <w:sz w:val="22"/>
                <w:szCs w:val="22"/>
              </w:rPr>
              <w:t>МФО 320478</w:t>
            </w:r>
          </w:p>
          <w:p w14:paraId="4FC0B28E" w14:textId="77777777" w:rsidR="00986537" w:rsidRPr="008647E8" w:rsidRDefault="00986537" w:rsidP="00986537">
            <w:pPr>
              <w:rPr>
                <w:sz w:val="22"/>
                <w:szCs w:val="22"/>
              </w:rPr>
            </w:pPr>
            <w:proofErr w:type="gramStart"/>
            <w:r w:rsidRPr="008647E8">
              <w:rPr>
                <w:sz w:val="22"/>
                <w:szCs w:val="22"/>
              </w:rPr>
              <w:t>код  ЄДРПОУ</w:t>
            </w:r>
            <w:proofErr w:type="gramEnd"/>
            <w:r w:rsidRPr="008647E8">
              <w:rPr>
                <w:sz w:val="22"/>
                <w:szCs w:val="22"/>
              </w:rPr>
              <w:t xml:space="preserve"> 00156392</w:t>
            </w:r>
          </w:p>
          <w:p w14:paraId="2E8EC655" w14:textId="77777777" w:rsidR="00986537" w:rsidRPr="008647E8" w:rsidRDefault="00986537" w:rsidP="00986537">
            <w:pPr>
              <w:rPr>
                <w:sz w:val="22"/>
                <w:szCs w:val="22"/>
              </w:rPr>
            </w:pPr>
            <w:proofErr w:type="spellStart"/>
            <w:r w:rsidRPr="008647E8">
              <w:rPr>
                <w:sz w:val="22"/>
                <w:szCs w:val="22"/>
              </w:rPr>
              <w:t>платник</w:t>
            </w:r>
            <w:proofErr w:type="spellEnd"/>
            <w:r w:rsidRPr="008647E8">
              <w:rPr>
                <w:sz w:val="22"/>
                <w:szCs w:val="22"/>
              </w:rPr>
              <w:t xml:space="preserve"> </w:t>
            </w:r>
            <w:proofErr w:type="spellStart"/>
            <w:r w:rsidRPr="008647E8">
              <w:rPr>
                <w:sz w:val="22"/>
                <w:szCs w:val="22"/>
              </w:rPr>
              <w:t>податку</w:t>
            </w:r>
            <w:proofErr w:type="spellEnd"/>
            <w:r w:rsidRPr="008647E8">
              <w:rPr>
                <w:sz w:val="22"/>
                <w:szCs w:val="22"/>
              </w:rPr>
              <w:t xml:space="preserve"> на </w:t>
            </w:r>
            <w:proofErr w:type="spellStart"/>
            <w:r w:rsidRPr="008647E8">
              <w:rPr>
                <w:sz w:val="22"/>
                <w:szCs w:val="22"/>
              </w:rPr>
              <w:t>додану</w:t>
            </w:r>
            <w:proofErr w:type="spellEnd"/>
            <w:r w:rsidRPr="008647E8">
              <w:rPr>
                <w:sz w:val="22"/>
                <w:szCs w:val="22"/>
              </w:rPr>
              <w:t xml:space="preserve"> </w:t>
            </w:r>
            <w:proofErr w:type="spellStart"/>
            <w:r w:rsidRPr="008647E8">
              <w:rPr>
                <w:sz w:val="22"/>
                <w:szCs w:val="22"/>
              </w:rPr>
              <w:t>вартість</w:t>
            </w:r>
            <w:proofErr w:type="spellEnd"/>
          </w:p>
          <w:p w14:paraId="365B6F11" w14:textId="77777777" w:rsidR="00986537" w:rsidRPr="008647E8" w:rsidRDefault="00986537" w:rsidP="00986537">
            <w:pPr>
              <w:rPr>
                <w:sz w:val="22"/>
                <w:szCs w:val="22"/>
              </w:rPr>
            </w:pPr>
            <w:r w:rsidRPr="008647E8">
              <w:rPr>
                <w:sz w:val="22"/>
                <w:szCs w:val="22"/>
              </w:rPr>
              <w:t>Тел./факс (05744) 7-10-93, 7-19-31</w:t>
            </w:r>
          </w:p>
          <w:p w14:paraId="6CC09DE3" w14:textId="77777777" w:rsidR="00986537" w:rsidRDefault="00986537" w:rsidP="00986537">
            <w:pPr>
              <w:rPr>
                <w:sz w:val="22"/>
                <w:szCs w:val="22"/>
              </w:rPr>
            </w:pPr>
            <w:r w:rsidRPr="008647E8">
              <w:rPr>
                <w:noProof/>
                <w:sz w:val="22"/>
                <w:szCs w:val="22"/>
              </w:rPr>
              <w:t xml:space="preserve">електронна адреса: </w:t>
            </w:r>
            <w:r w:rsidRPr="008647E8">
              <w:rPr>
                <w:sz w:val="22"/>
                <w:szCs w:val="22"/>
              </w:rPr>
              <w:t xml:space="preserve"> </w:t>
            </w:r>
          </w:p>
          <w:p w14:paraId="34760EF1" w14:textId="77777777" w:rsidR="00986537" w:rsidRDefault="00986537" w:rsidP="00986537">
            <w:pPr>
              <w:jc w:val="both"/>
              <w:rPr>
                <w:sz w:val="22"/>
                <w:szCs w:val="22"/>
              </w:rPr>
            </w:pPr>
            <w:r w:rsidRPr="00792055">
              <w:rPr>
                <w:sz w:val="22"/>
                <w:szCs w:val="22"/>
              </w:rPr>
              <w:t xml:space="preserve">s.shestakov@ukrburgas.com.ua </w:t>
            </w:r>
          </w:p>
          <w:p w14:paraId="30280898" w14:textId="77777777" w:rsidR="00986537" w:rsidRDefault="00986537" w:rsidP="00986537">
            <w:pPr>
              <w:jc w:val="both"/>
              <w:rPr>
                <w:b/>
                <w:sz w:val="22"/>
                <w:szCs w:val="22"/>
              </w:rPr>
            </w:pPr>
            <w:proofErr w:type="spellStart"/>
            <w:r w:rsidRPr="008647E8">
              <w:rPr>
                <w:b/>
                <w:sz w:val="22"/>
                <w:szCs w:val="22"/>
              </w:rPr>
              <w:t>Реквізити</w:t>
            </w:r>
            <w:proofErr w:type="spellEnd"/>
            <w:r w:rsidRPr="008647E8">
              <w:rPr>
                <w:b/>
                <w:sz w:val="22"/>
                <w:szCs w:val="22"/>
              </w:rPr>
              <w:t xml:space="preserve"> для </w:t>
            </w:r>
            <w:proofErr w:type="spellStart"/>
            <w:r w:rsidRPr="008647E8">
              <w:rPr>
                <w:b/>
                <w:sz w:val="22"/>
                <w:szCs w:val="22"/>
              </w:rPr>
              <w:t>заповнення</w:t>
            </w:r>
            <w:proofErr w:type="spellEnd"/>
            <w:r w:rsidRPr="008647E8">
              <w:rPr>
                <w:b/>
                <w:sz w:val="22"/>
                <w:szCs w:val="22"/>
              </w:rPr>
              <w:t xml:space="preserve"> </w:t>
            </w:r>
            <w:proofErr w:type="spellStart"/>
            <w:r w:rsidRPr="008647E8">
              <w:rPr>
                <w:b/>
                <w:sz w:val="22"/>
                <w:szCs w:val="22"/>
              </w:rPr>
              <w:t>податкових</w:t>
            </w:r>
            <w:proofErr w:type="spellEnd"/>
            <w:r w:rsidRPr="008647E8">
              <w:rPr>
                <w:b/>
                <w:sz w:val="22"/>
                <w:szCs w:val="22"/>
              </w:rPr>
              <w:t xml:space="preserve"> </w:t>
            </w:r>
          </w:p>
          <w:p w14:paraId="0ADE8F48" w14:textId="77777777" w:rsidR="00986537" w:rsidRPr="008647E8" w:rsidRDefault="00986537" w:rsidP="00986537">
            <w:pPr>
              <w:jc w:val="both"/>
              <w:rPr>
                <w:b/>
                <w:sz w:val="22"/>
                <w:szCs w:val="22"/>
              </w:rPr>
            </w:pPr>
            <w:proofErr w:type="spellStart"/>
            <w:r w:rsidRPr="008647E8">
              <w:rPr>
                <w:b/>
                <w:sz w:val="22"/>
                <w:szCs w:val="22"/>
              </w:rPr>
              <w:t>накладних</w:t>
            </w:r>
            <w:proofErr w:type="spellEnd"/>
            <w:r w:rsidRPr="008647E8">
              <w:rPr>
                <w:b/>
                <w:sz w:val="22"/>
                <w:szCs w:val="22"/>
              </w:rPr>
              <w:t>:</w:t>
            </w:r>
          </w:p>
          <w:p w14:paraId="172B6B64" w14:textId="77777777" w:rsidR="00986537" w:rsidRDefault="00986537" w:rsidP="00986537">
            <w:pPr>
              <w:jc w:val="both"/>
              <w:rPr>
                <w:sz w:val="22"/>
                <w:szCs w:val="22"/>
              </w:rPr>
            </w:pPr>
            <w:proofErr w:type="spellStart"/>
            <w:r w:rsidRPr="008647E8">
              <w:rPr>
                <w:sz w:val="22"/>
                <w:szCs w:val="22"/>
              </w:rPr>
              <w:t>Назва</w:t>
            </w:r>
            <w:proofErr w:type="spellEnd"/>
            <w:r w:rsidRPr="008647E8">
              <w:rPr>
                <w:sz w:val="22"/>
                <w:szCs w:val="22"/>
              </w:rPr>
              <w:t xml:space="preserve"> </w:t>
            </w:r>
            <w:proofErr w:type="spellStart"/>
            <w:r w:rsidRPr="008647E8">
              <w:rPr>
                <w:sz w:val="22"/>
                <w:szCs w:val="22"/>
              </w:rPr>
              <w:t>підприємства</w:t>
            </w:r>
            <w:proofErr w:type="spellEnd"/>
            <w:r w:rsidRPr="008647E8">
              <w:rPr>
                <w:sz w:val="22"/>
                <w:szCs w:val="22"/>
              </w:rPr>
              <w:t xml:space="preserve">: </w:t>
            </w:r>
          </w:p>
          <w:p w14:paraId="77C39193" w14:textId="77777777" w:rsidR="00986537" w:rsidRDefault="00986537" w:rsidP="00986537">
            <w:pPr>
              <w:jc w:val="both"/>
              <w:rPr>
                <w:sz w:val="22"/>
                <w:szCs w:val="22"/>
              </w:rPr>
            </w:pPr>
            <w:r>
              <w:rPr>
                <w:sz w:val="22"/>
                <w:szCs w:val="22"/>
                <w:lang w:val="uk-UA"/>
              </w:rPr>
              <w:t>А</w:t>
            </w:r>
            <w:proofErr w:type="spellStart"/>
            <w:r w:rsidRPr="008647E8">
              <w:rPr>
                <w:sz w:val="22"/>
                <w:szCs w:val="22"/>
              </w:rPr>
              <w:t>кціонерне</w:t>
            </w:r>
            <w:proofErr w:type="spellEnd"/>
            <w:r w:rsidRPr="008647E8">
              <w:rPr>
                <w:sz w:val="22"/>
                <w:szCs w:val="22"/>
              </w:rPr>
              <w:t xml:space="preserve"> </w:t>
            </w:r>
            <w:r>
              <w:rPr>
                <w:sz w:val="22"/>
                <w:szCs w:val="22"/>
                <w:lang w:val="uk-UA"/>
              </w:rPr>
              <w:t>т</w:t>
            </w:r>
            <w:proofErr w:type="spellStart"/>
            <w:r w:rsidRPr="008647E8">
              <w:rPr>
                <w:sz w:val="22"/>
                <w:szCs w:val="22"/>
              </w:rPr>
              <w:t>овариство</w:t>
            </w:r>
            <w:proofErr w:type="spellEnd"/>
            <w:r w:rsidRPr="008647E8">
              <w:rPr>
                <w:sz w:val="22"/>
                <w:szCs w:val="22"/>
              </w:rPr>
              <w:t xml:space="preserve"> «</w:t>
            </w:r>
            <w:proofErr w:type="spellStart"/>
            <w:r w:rsidRPr="008647E8">
              <w:rPr>
                <w:sz w:val="22"/>
                <w:szCs w:val="22"/>
              </w:rPr>
              <w:t>Укргазвидобування</w:t>
            </w:r>
            <w:proofErr w:type="spellEnd"/>
            <w:r w:rsidRPr="008647E8">
              <w:rPr>
                <w:sz w:val="22"/>
                <w:szCs w:val="22"/>
              </w:rPr>
              <w:t xml:space="preserve">» </w:t>
            </w:r>
          </w:p>
          <w:p w14:paraId="24B4A1BA" w14:textId="77777777" w:rsidR="00986537" w:rsidRDefault="00986537" w:rsidP="00986537">
            <w:pPr>
              <w:jc w:val="both"/>
              <w:rPr>
                <w:sz w:val="22"/>
                <w:szCs w:val="22"/>
              </w:rPr>
            </w:pPr>
            <w:proofErr w:type="spellStart"/>
            <w:r w:rsidRPr="008647E8">
              <w:rPr>
                <w:sz w:val="22"/>
                <w:szCs w:val="22"/>
              </w:rPr>
              <w:t>Філія</w:t>
            </w:r>
            <w:proofErr w:type="spellEnd"/>
            <w:r w:rsidRPr="008647E8">
              <w:rPr>
                <w:sz w:val="22"/>
                <w:szCs w:val="22"/>
              </w:rPr>
              <w:t xml:space="preserve"> Бурове </w:t>
            </w:r>
            <w:proofErr w:type="spellStart"/>
            <w:proofErr w:type="gramStart"/>
            <w:r w:rsidRPr="008647E8">
              <w:rPr>
                <w:sz w:val="22"/>
                <w:szCs w:val="22"/>
              </w:rPr>
              <w:t>управління</w:t>
            </w:r>
            <w:proofErr w:type="spellEnd"/>
            <w:r w:rsidRPr="008647E8">
              <w:rPr>
                <w:sz w:val="22"/>
                <w:szCs w:val="22"/>
              </w:rPr>
              <w:t xml:space="preserve">  «</w:t>
            </w:r>
            <w:proofErr w:type="spellStart"/>
            <w:proofErr w:type="gramEnd"/>
            <w:r w:rsidRPr="008647E8">
              <w:rPr>
                <w:sz w:val="22"/>
                <w:szCs w:val="22"/>
              </w:rPr>
              <w:t>Укрбургаз</w:t>
            </w:r>
            <w:proofErr w:type="spellEnd"/>
            <w:r w:rsidRPr="008647E8">
              <w:rPr>
                <w:sz w:val="22"/>
                <w:szCs w:val="22"/>
              </w:rPr>
              <w:t xml:space="preserve">»   </w:t>
            </w:r>
          </w:p>
          <w:p w14:paraId="40AD10A5" w14:textId="77777777" w:rsidR="00986537" w:rsidRPr="008647E8" w:rsidRDefault="00986537" w:rsidP="00986537">
            <w:pPr>
              <w:jc w:val="both"/>
              <w:rPr>
                <w:sz w:val="22"/>
                <w:szCs w:val="22"/>
              </w:rPr>
            </w:pPr>
            <w:r w:rsidRPr="008647E8">
              <w:rPr>
                <w:sz w:val="22"/>
                <w:szCs w:val="22"/>
              </w:rPr>
              <w:t xml:space="preserve"> </w:t>
            </w:r>
            <w:r w:rsidRPr="008647E8">
              <w:rPr>
                <w:b/>
                <w:sz w:val="22"/>
                <w:szCs w:val="22"/>
              </w:rPr>
              <w:t xml:space="preserve">Код </w:t>
            </w:r>
            <w:proofErr w:type="spellStart"/>
            <w:r w:rsidRPr="008647E8">
              <w:rPr>
                <w:b/>
                <w:sz w:val="22"/>
                <w:szCs w:val="22"/>
              </w:rPr>
              <w:t>філії</w:t>
            </w:r>
            <w:proofErr w:type="spellEnd"/>
            <w:r w:rsidRPr="008647E8">
              <w:rPr>
                <w:b/>
                <w:sz w:val="22"/>
                <w:szCs w:val="22"/>
              </w:rPr>
              <w:t xml:space="preserve">   8</w:t>
            </w:r>
            <w:r w:rsidRPr="008647E8">
              <w:rPr>
                <w:sz w:val="22"/>
                <w:szCs w:val="22"/>
              </w:rPr>
              <w:t xml:space="preserve">  </w:t>
            </w:r>
          </w:p>
          <w:p w14:paraId="4A646CFF" w14:textId="77777777" w:rsidR="00986537" w:rsidRDefault="00986537" w:rsidP="00986537">
            <w:pPr>
              <w:jc w:val="both"/>
              <w:rPr>
                <w:sz w:val="22"/>
                <w:szCs w:val="22"/>
              </w:rPr>
            </w:pPr>
            <w:proofErr w:type="spellStart"/>
            <w:r w:rsidRPr="008647E8">
              <w:rPr>
                <w:sz w:val="22"/>
                <w:szCs w:val="22"/>
              </w:rPr>
              <w:t>Індивідуальний</w:t>
            </w:r>
            <w:proofErr w:type="spellEnd"/>
            <w:r w:rsidRPr="008647E8">
              <w:rPr>
                <w:sz w:val="22"/>
                <w:szCs w:val="22"/>
              </w:rPr>
              <w:t xml:space="preserve"> </w:t>
            </w:r>
            <w:proofErr w:type="spellStart"/>
            <w:r w:rsidRPr="008647E8">
              <w:rPr>
                <w:sz w:val="22"/>
                <w:szCs w:val="22"/>
              </w:rPr>
              <w:t>податковий</w:t>
            </w:r>
            <w:proofErr w:type="spellEnd"/>
            <w:r w:rsidRPr="008647E8">
              <w:rPr>
                <w:sz w:val="22"/>
                <w:szCs w:val="22"/>
              </w:rPr>
              <w:t xml:space="preserve"> номер: </w:t>
            </w:r>
          </w:p>
          <w:p w14:paraId="09B6516D" w14:textId="77777777" w:rsidR="00986537" w:rsidRPr="008647E8" w:rsidRDefault="00986537" w:rsidP="00986537">
            <w:pPr>
              <w:jc w:val="both"/>
              <w:rPr>
                <w:sz w:val="22"/>
                <w:szCs w:val="22"/>
              </w:rPr>
            </w:pPr>
            <w:r w:rsidRPr="008647E8">
              <w:rPr>
                <w:sz w:val="22"/>
                <w:szCs w:val="22"/>
              </w:rPr>
              <w:t>300197726657</w:t>
            </w:r>
          </w:p>
          <w:p w14:paraId="325E6D75" w14:textId="77777777" w:rsidR="00986537" w:rsidRDefault="00986537" w:rsidP="00986537">
            <w:pPr>
              <w:jc w:val="both"/>
              <w:rPr>
                <w:sz w:val="22"/>
                <w:szCs w:val="22"/>
              </w:rPr>
            </w:pPr>
            <w:proofErr w:type="spellStart"/>
            <w:r w:rsidRPr="008647E8">
              <w:rPr>
                <w:sz w:val="22"/>
                <w:szCs w:val="22"/>
              </w:rPr>
              <w:t>Витяг</w:t>
            </w:r>
            <w:proofErr w:type="spellEnd"/>
            <w:r w:rsidRPr="008647E8">
              <w:rPr>
                <w:sz w:val="22"/>
                <w:szCs w:val="22"/>
              </w:rPr>
              <w:t xml:space="preserve"> 1528104500140 з </w:t>
            </w:r>
            <w:proofErr w:type="spellStart"/>
            <w:r w:rsidRPr="008647E8">
              <w:rPr>
                <w:sz w:val="22"/>
                <w:szCs w:val="22"/>
              </w:rPr>
              <w:t>реєстру</w:t>
            </w:r>
            <w:proofErr w:type="spellEnd"/>
            <w:r w:rsidRPr="008647E8">
              <w:rPr>
                <w:sz w:val="22"/>
                <w:szCs w:val="22"/>
              </w:rPr>
              <w:t xml:space="preserve"> </w:t>
            </w:r>
          </w:p>
          <w:p w14:paraId="6B99F772" w14:textId="77777777" w:rsidR="00986537" w:rsidRPr="008647E8" w:rsidRDefault="00986537" w:rsidP="00986537">
            <w:pPr>
              <w:jc w:val="both"/>
              <w:rPr>
                <w:sz w:val="22"/>
                <w:szCs w:val="22"/>
              </w:rPr>
            </w:pPr>
            <w:proofErr w:type="spellStart"/>
            <w:r w:rsidRPr="008647E8">
              <w:rPr>
                <w:sz w:val="22"/>
                <w:szCs w:val="22"/>
              </w:rPr>
              <w:t>платників</w:t>
            </w:r>
            <w:proofErr w:type="spellEnd"/>
            <w:r w:rsidRPr="008647E8">
              <w:rPr>
                <w:sz w:val="22"/>
                <w:szCs w:val="22"/>
              </w:rPr>
              <w:t xml:space="preserve"> ПДВ</w:t>
            </w:r>
          </w:p>
          <w:p w14:paraId="0CB6B75E" w14:textId="77777777" w:rsidR="00986537" w:rsidRPr="008647E8" w:rsidRDefault="00986537" w:rsidP="00986537">
            <w:pPr>
              <w:ind w:right="175"/>
              <w:jc w:val="both"/>
              <w:rPr>
                <w:sz w:val="22"/>
                <w:szCs w:val="22"/>
              </w:rPr>
            </w:pPr>
            <w:r w:rsidRPr="008647E8">
              <w:rPr>
                <w:sz w:val="22"/>
                <w:szCs w:val="22"/>
              </w:rPr>
              <w:t>Номер телефону: 057 44 7 19 88</w:t>
            </w:r>
          </w:p>
          <w:p w14:paraId="58A55ACD" w14:textId="77777777" w:rsidR="00986537" w:rsidRPr="008647E8" w:rsidRDefault="00986537" w:rsidP="00986537">
            <w:pPr>
              <w:spacing w:line="276" w:lineRule="auto"/>
              <w:rPr>
                <w:sz w:val="22"/>
                <w:szCs w:val="22"/>
              </w:rPr>
            </w:pPr>
            <w:r w:rsidRPr="008647E8">
              <w:rPr>
                <w:sz w:val="22"/>
                <w:szCs w:val="22"/>
              </w:rPr>
              <w:t xml:space="preserve">Код ЄДРПОУ </w:t>
            </w:r>
            <w:proofErr w:type="spellStart"/>
            <w:r w:rsidRPr="008647E8">
              <w:rPr>
                <w:sz w:val="22"/>
                <w:szCs w:val="22"/>
              </w:rPr>
              <w:t>Покупця</w:t>
            </w:r>
            <w:proofErr w:type="spellEnd"/>
            <w:r w:rsidRPr="008647E8">
              <w:rPr>
                <w:sz w:val="22"/>
                <w:szCs w:val="22"/>
              </w:rPr>
              <w:t>: 30019775</w:t>
            </w:r>
          </w:p>
          <w:p w14:paraId="5A995984" w14:textId="77777777" w:rsidR="00986537" w:rsidRPr="003133EA" w:rsidRDefault="00986537" w:rsidP="00986537">
            <w:pPr>
              <w:jc w:val="center"/>
              <w:rPr>
                <w:b/>
                <w:sz w:val="22"/>
                <w:szCs w:val="22"/>
              </w:rPr>
            </w:pPr>
          </w:p>
          <w:p w14:paraId="02AD37D4" w14:textId="7E1971C0" w:rsidR="00986537" w:rsidRDefault="00986537" w:rsidP="00986537">
            <w:pPr>
              <w:jc w:val="both"/>
              <w:rPr>
                <w:sz w:val="24"/>
                <w:szCs w:val="24"/>
              </w:rPr>
            </w:pPr>
            <w:r w:rsidRPr="00986537">
              <w:rPr>
                <w:sz w:val="24"/>
                <w:szCs w:val="24"/>
              </w:rPr>
              <w:t>_____________________</w:t>
            </w:r>
            <w:r>
              <w:rPr>
                <w:sz w:val="24"/>
                <w:szCs w:val="24"/>
                <w:lang w:val="en-US"/>
              </w:rPr>
              <w:t xml:space="preserve">    </w:t>
            </w:r>
            <w:r w:rsidR="00BC7AC0">
              <w:rPr>
                <w:sz w:val="24"/>
                <w:szCs w:val="24"/>
              </w:rPr>
              <w:t>(_________</w:t>
            </w:r>
            <w:bookmarkStart w:id="0" w:name="_GoBack"/>
            <w:bookmarkEnd w:id="0"/>
            <w:r w:rsidRPr="00986537">
              <w:rPr>
                <w:sz w:val="24"/>
                <w:szCs w:val="24"/>
              </w:rPr>
              <w:t xml:space="preserve">) </w:t>
            </w:r>
          </w:p>
          <w:p w14:paraId="188D1C22" w14:textId="77777777" w:rsidR="00986537" w:rsidRDefault="00986537" w:rsidP="00986537">
            <w:pPr>
              <w:jc w:val="both"/>
              <w:rPr>
                <w:sz w:val="24"/>
                <w:szCs w:val="24"/>
              </w:rPr>
            </w:pPr>
          </w:p>
          <w:p w14:paraId="3CEFBF1C" w14:textId="4A437284" w:rsidR="0074707F" w:rsidRPr="00986537" w:rsidRDefault="00986537" w:rsidP="00986537">
            <w:pPr>
              <w:jc w:val="both"/>
              <w:rPr>
                <w:sz w:val="24"/>
                <w:szCs w:val="24"/>
                <w:lang w:val="uk-UA"/>
              </w:rPr>
            </w:pPr>
            <w:r w:rsidRPr="00986537">
              <w:rPr>
                <w:sz w:val="24"/>
                <w:szCs w:val="24"/>
              </w:rPr>
              <w:t xml:space="preserve">           “______”_________20___ р.</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126EE5">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341B71CD"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w:t>
      </w:r>
      <w:r w:rsidR="003B2882">
        <w:rPr>
          <w:sz w:val="28"/>
          <w:szCs w:val="28"/>
          <w:lang w:val="uk-UA"/>
        </w:rPr>
        <w:t>протягом 15 календарних днів з дати рахунку</w:t>
      </w:r>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26EE5"/>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882"/>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0197"/>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6537"/>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C0"/>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87C4D"/>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7964-3329-4749-ADD5-57767733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18636</Words>
  <Characters>10624</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Назарок Павло</cp:lastModifiedBy>
  <cp:revision>4</cp:revision>
  <cp:lastPrinted>2018-05-25T12:13:00Z</cp:lastPrinted>
  <dcterms:created xsi:type="dcterms:W3CDTF">2019-08-09T05:48:00Z</dcterms:created>
  <dcterms:modified xsi:type="dcterms:W3CDTF">2019-08-09T05:48:00Z</dcterms:modified>
</cp:coreProperties>
</file>