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D13399" w:rsidRPr="00D13399" w:rsidTr="00D13399">
        <w:trPr>
          <w:trHeight w:val="255"/>
        </w:trPr>
        <w:tc>
          <w:tcPr>
            <w:tcW w:w="9345" w:type="dxa"/>
            <w:gridSpan w:val="2"/>
            <w:hideMark/>
          </w:tcPr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399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 w:rsidP="00D13399">
            <w:pPr>
              <w:rPr>
                <w:rFonts w:ascii="Times New Roman" w:hAnsi="Times New Roman" w:cs="Times New Roman"/>
                <w:b/>
                <w:bCs/>
              </w:rPr>
            </w:pPr>
            <w:r w:rsidRPr="00D13399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 w:rsidP="00D13399">
            <w:pPr>
              <w:rPr>
                <w:rFonts w:ascii="Times New Roman" w:hAnsi="Times New Roman" w:cs="Times New Roman"/>
                <w:b/>
                <w:bCs/>
              </w:rPr>
            </w:pPr>
            <w:r w:rsidRPr="00D13399">
              <w:rPr>
                <w:rFonts w:ascii="Times New Roman" w:hAnsi="Times New Roman" w:cs="Times New Roman"/>
                <w:b/>
                <w:bCs/>
              </w:rPr>
              <w:t>8302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Продовження </w:t>
            </w:r>
            <w:r w:rsidR="00601E02">
              <w:rPr>
                <w:rFonts w:ascii="Times New Roman" w:hAnsi="Times New Roman" w:cs="Times New Roman"/>
                <w:lang w:val="uk-UA"/>
              </w:rPr>
              <w:t xml:space="preserve">терміну дії </w:t>
            </w:r>
            <w:r>
              <w:rPr>
                <w:rFonts w:ascii="Times New Roman" w:hAnsi="Times New Roman" w:cs="Times New Roman"/>
                <w:lang w:val="uk-UA"/>
              </w:rPr>
              <w:t xml:space="preserve">договору оренди </w:t>
            </w:r>
            <w:r w:rsidR="00601E02">
              <w:rPr>
                <w:rFonts w:ascii="Times New Roman" w:hAnsi="Times New Roman" w:cs="Times New Roman"/>
                <w:lang w:val="uk-UA"/>
              </w:rPr>
              <w:t xml:space="preserve">державного нерухомого майна </w:t>
            </w:r>
            <w:r>
              <w:rPr>
                <w:rFonts w:ascii="Times New Roman" w:hAnsi="Times New Roman" w:cs="Times New Roman"/>
                <w:lang w:val="uk-UA"/>
              </w:rPr>
              <w:t xml:space="preserve">– нежитлових вбудованих приміщень, загальною площею 16,0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на 11-му поверсі адміністративної будівлі (літ. А),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21100,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Хмельницьке шосе, 15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21018, м.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. Гоголя, 10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Головне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статистики 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40827148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21100,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м.Вінниця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Хмельницьке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шосе</w:t>
            </w:r>
            <w:proofErr w:type="spellEnd"/>
            <w:r w:rsidRPr="00D13399">
              <w:rPr>
                <w:rFonts w:ascii="Times New Roman" w:hAnsi="Times New Roman" w:cs="Times New Roman"/>
              </w:rPr>
              <w:t>, 15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162 302,00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Нерухоме майно – нежитлові вбудовані приміщення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№2 (2,0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E63EA8">
              <w:rPr>
                <w:rFonts w:ascii="Times New Roman" w:hAnsi="Times New Roman" w:cs="Times New Roman"/>
                <w:lang w:val="uk-UA"/>
              </w:rPr>
              <w:t xml:space="preserve">), </w:t>
            </w:r>
            <w:proofErr w:type="spellStart"/>
            <w:r w:rsidR="00E63EA8">
              <w:rPr>
                <w:rFonts w:ascii="Times New Roman" w:hAnsi="Times New Roman" w:cs="Times New Roman"/>
                <w:lang w:val="uk-UA"/>
              </w:rPr>
              <w:t>част</w:t>
            </w:r>
            <w:proofErr w:type="spellEnd"/>
            <w:r w:rsidR="00E63EA8">
              <w:rPr>
                <w:rFonts w:ascii="Times New Roman" w:hAnsi="Times New Roman" w:cs="Times New Roman"/>
                <w:lang w:val="uk-UA"/>
              </w:rPr>
              <w:t xml:space="preserve">. №23 (1,7 </w:t>
            </w:r>
            <w:proofErr w:type="spellStart"/>
            <w:r w:rsidR="00E63EA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E63EA8">
              <w:rPr>
                <w:rFonts w:ascii="Times New Roman" w:hAnsi="Times New Roman" w:cs="Times New Roman"/>
                <w:lang w:val="uk-UA"/>
              </w:rPr>
              <w:t>), №24 (12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,3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за даними БТІ), загальною площею 16,0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на 11-му поверсі адміністративної будівлі (літ. А),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21100,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Хмельницьке шосе, 15</w:t>
            </w:r>
          </w:p>
        </w:tc>
      </w:tr>
      <w:tr w:rsidR="00D13399" w:rsidRPr="00D13399" w:rsidTr="00D13399">
        <w:trPr>
          <w:trHeight w:val="105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https://drive.google.com/open?id=1D2ibmQBcezUoFgt3cIX3agjqvzV6QAvB, https://drive.google.com/open?id=10TtASVxG2n6oP835naUtaJjbA0QGueTL, https://drive.google.com/open?id=1h4oijsL_2Q-OpJ7XrUNVql7A9rJarCJP, https://drive.google.com/open?id=1M6rDXwZjcf2cyE9DlAiGYg8MrXiuO7QG</w:t>
            </w:r>
          </w:p>
        </w:tc>
      </w:tr>
      <w:tr w:rsidR="00D13399" w:rsidRPr="00D13399" w:rsidTr="00D13399">
        <w:trPr>
          <w:trHeight w:val="31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49CE" w:rsidRPr="004B49CE">
              <w:rPr>
                <w:rFonts w:ascii="Times New Roman" w:hAnsi="Times New Roman" w:cs="Times New Roman"/>
              </w:rPr>
              <w:t>21100</w:t>
            </w:r>
            <w:r w:rsidR="004B49CE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м.</w:t>
            </w:r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шосе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Хмельницьке</w:t>
            </w:r>
            <w:proofErr w:type="spellEnd"/>
            <w:r w:rsidRPr="00D13399">
              <w:rPr>
                <w:rFonts w:ascii="Times New Roman" w:hAnsi="Times New Roman" w:cs="Times New Roman"/>
              </w:rPr>
              <w:t>, 15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16,00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664" w:type="dxa"/>
            <w:hideMark/>
          </w:tcPr>
          <w:p w:rsidR="00D13399" w:rsidRPr="004B49CE" w:rsidRDefault="004B49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16,00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D13399" w:rsidRPr="00D13399" w:rsidTr="00D13399">
        <w:trPr>
          <w:trHeight w:val="539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  <w:u w:val="single"/>
              </w:rPr>
            </w:pPr>
            <w:r w:rsidRPr="00D13399">
              <w:rPr>
                <w:rFonts w:ascii="Times New Roman" w:hAnsi="Times New Roman" w:cs="Times New Roman"/>
                <w:u w:val="single"/>
              </w:rPr>
              <w:t>https://drive.google.com/open?id=1vLUSaa116iQAqpqC3wqX1_dG2lvuaWMT</w:t>
            </w:r>
          </w:p>
        </w:tc>
      </w:tr>
      <w:tr w:rsidR="00D13399" w:rsidRPr="00D13399" w:rsidTr="00E82D32">
        <w:trPr>
          <w:trHeight w:val="510"/>
        </w:trPr>
        <w:tc>
          <w:tcPr>
            <w:tcW w:w="9345" w:type="dxa"/>
            <w:gridSpan w:val="2"/>
            <w:hideMark/>
          </w:tcPr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D13399" w:rsidRPr="00D13399" w:rsidRDefault="00D13399" w:rsidP="00D13399">
            <w:pPr>
              <w:rPr>
                <w:rFonts w:ascii="Times New Roman" w:hAnsi="Times New Roman" w:cs="Times New Roman"/>
                <w:b/>
                <w:bCs/>
              </w:rPr>
            </w:pPr>
            <w:r w:rsidRPr="00D133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D1339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так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300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50кВт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є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є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lastRenderedPageBreak/>
              <w:t>Опалення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є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D1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є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D1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D1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є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E4CEA" w:rsidRPr="00D13399" w:rsidTr="00E442DB">
        <w:trPr>
          <w:trHeight w:val="255"/>
        </w:trPr>
        <w:tc>
          <w:tcPr>
            <w:tcW w:w="9345" w:type="dxa"/>
            <w:gridSpan w:val="2"/>
            <w:hideMark/>
          </w:tcPr>
          <w:p w:rsidR="00EE4CEA" w:rsidRPr="00D13399" w:rsidRDefault="00EE4CEA" w:rsidP="00EE4C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EE4CEA" w:rsidRDefault="00D1339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845A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984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5A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9845A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9845A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9845A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9845A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84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5A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845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5A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hideMark/>
          </w:tcPr>
          <w:p w:rsidR="00D13399" w:rsidRPr="009845A0" w:rsidRDefault="009845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1623,02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яким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або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664" w:type="dxa"/>
            <w:hideMark/>
          </w:tcPr>
          <w:p w:rsidR="00D13399" w:rsidRPr="00EE4CEA" w:rsidRDefault="00EE4CEA" w:rsidP="00EE4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</w:rPr>
              <w:t>і,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13399"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399" w:rsidRPr="00D1339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</w:rPr>
              <w:t>використано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13399" w:rsidRPr="00D13399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lang w:val="uk-UA"/>
              </w:rPr>
              <w:t xml:space="preserve"> будь-яким</w:t>
            </w:r>
            <w:r w:rsidR="00D13399"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399" w:rsidRPr="00D13399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="00D13399"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399" w:rsidRPr="00D13399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як виключення, передбачене абзацом 10 пункту 29 Порядку</w:t>
            </w:r>
          </w:p>
        </w:tc>
      </w:tr>
      <w:tr w:rsidR="00D13399" w:rsidRPr="00D13399" w:rsidTr="00D13399">
        <w:trPr>
          <w:trHeight w:val="105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щодо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664" w:type="dxa"/>
            <w:hideMark/>
          </w:tcPr>
          <w:p w:rsidR="00D13399" w:rsidRPr="00EE4CEA" w:rsidRDefault="00EE4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13399" w:rsidRPr="00D13399" w:rsidTr="00D13399">
        <w:trPr>
          <w:trHeight w:val="76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664" w:type="dxa"/>
            <w:hideMark/>
          </w:tcPr>
          <w:p w:rsidR="00D13399" w:rsidRPr="00D13399" w:rsidRDefault="00D13399" w:rsidP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0</w:t>
            </w:r>
          </w:p>
        </w:tc>
      </w:tr>
      <w:tr w:rsidR="00D13399" w:rsidRPr="00D13399" w:rsidTr="00D13399">
        <w:trPr>
          <w:trHeight w:val="153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може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яким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крім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груп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груп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із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груп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може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із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664" w:type="dxa"/>
            <w:hideMark/>
          </w:tcPr>
          <w:p w:rsidR="00D13399" w:rsidRPr="00D13399" w:rsidRDefault="00D13399" w:rsidP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 w:rsidP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D13399">
              <w:rPr>
                <w:rFonts w:ascii="Times New Roman" w:hAnsi="Times New Roman" w:cs="Times New Roman"/>
              </w:rPr>
              <w:lastRenderedPageBreak/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D13399" w:rsidRPr="00D13399" w:rsidTr="00D13399">
        <w:trPr>
          <w:trHeight w:val="76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осіб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0432525777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осіб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0965959988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осіб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vinstat@vn.ukrstat.gov.ua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осіб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p.p.kostiuk@gmail.com</w:t>
            </w:r>
          </w:p>
        </w:tc>
      </w:tr>
      <w:tr w:rsidR="00D13399" w:rsidRPr="00D13399" w:rsidTr="00971DA1">
        <w:trPr>
          <w:trHeight w:val="255"/>
        </w:trPr>
        <w:tc>
          <w:tcPr>
            <w:tcW w:w="9345" w:type="dxa"/>
            <w:gridSpan w:val="2"/>
            <w:hideMark/>
          </w:tcPr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99" w:rsidRPr="00D13399" w:rsidTr="00D13399">
        <w:trPr>
          <w:trHeight w:val="102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Д</w:t>
            </w:r>
            <w:r w:rsidR="00DC01C5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="00DC01C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DC01C5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="00DC01C5">
              <w:rPr>
                <w:rFonts w:ascii="Times New Roman" w:hAnsi="Times New Roman" w:cs="Times New Roman"/>
              </w:rPr>
              <w:t>березня</w:t>
            </w:r>
            <w:proofErr w:type="spellEnd"/>
            <w:r w:rsidR="00DC01C5">
              <w:rPr>
                <w:rFonts w:ascii="Times New Roman" w:hAnsi="Times New Roman" w:cs="Times New Roman"/>
              </w:rPr>
              <w:t xml:space="preserve"> 2021</w:t>
            </w:r>
            <w:r w:rsidRPr="00D13399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D13399">
              <w:rPr>
                <w:rFonts w:ascii="Times New Roman" w:hAnsi="Times New Roman" w:cs="Times New Roman"/>
              </w:rPr>
              <w:t>.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D13399" w:rsidRPr="00D13399" w:rsidTr="00D13399">
        <w:trPr>
          <w:trHeight w:val="102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 w:rsidP="00DC01C5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 </w:t>
            </w:r>
            <w:r w:rsidR="00DC01C5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DC01C5">
              <w:rPr>
                <w:rFonts w:ascii="Times New Roman" w:hAnsi="Times New Roman" w:cs="Times New Roman"/>
              </w:rPr>
              <w:t>березня</w:t>
            </w:r>
            <w:proofErr w:type="spellEnd"/>
            <w:r w:rsidR="00DC01C5">
              <w:rPr>
                <w:rFonts w:ascii="Times New Roman" w:hAnsi="Times New Roman" w:cs="Times New Roman"/>
              </w:rPr>
              <w:t xml:space="preserve"> 2021</w:t>
            </w:r>
            <w:r w:rsidR="00DC01C5" w:rsidRPr="00D13399">
              <w:rPr>
                <w:rFonts w:ascii="Times New Roman" w:hAnsi="Times New Roman" w:cs="Times New Roman"/>
              </w:rPr>
              <w:t xml:space="preserve"> </w:t>
            </w:r>
            <w:r w:rsidRPr="00D13399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під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noWrap/>
            <w:hideMark/>
          </w:tcPr>
          <w:p w:rsidR="00D13399" w:rsidRPr="009845A0" w:rsidRDefault="009845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16,23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hideMark/>
          </w:tcPr>
          <w:p w:rsidR="00D13399" w:rsidRPr="009845A0" w:rsidRDefault="009845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811,51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hideMark/>
          </w:tcPr>
          <w:p w:rsidR="00D13399" w:rsidRPr="00884D25" w:rsidRDefault="00884D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6492,08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600</w:t>
            </w:r>
          </w:p>
        </w:tc>
      </w:tr>
      <w:tr w:rsidR="00D13399" w:rsidRPr="00D13399" w:rsidTr="00D13399">
        <w:trPr>
          <w:trHeight w:val="76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E63EA8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D13399" w:rsidRPr="00D13399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D13399" w:rsidRPr="00D13399" w:rsidTr="00D13399">
        <w:trPr>
          <w:trHeight w:val="2683"/>
        </w:trPr>
        <w:tc>
          <w:tcPr>
            <w:tcW w:w="3681" w:type="dxa"/>
            <w:hideMark/>
          </w:tcPr>
          <w:p w:rsid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її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об'єкти</w:t>
            </w:r>
            <w:proofErr w:type="spellEnd"/>
          </w:p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hideMark/>
          </w:tcPr>
          <w:p w:rsidR="00D13399" w:rsidRDefault="00D13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ФДМ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№ UA648201720355259001002156369 (для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 ДКСУ  Код ЄДРПОУ 42964094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вказати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13399" w:rsidRDefault="00D133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</w:p>
        </w:tc>
      </w:tr>
      <w:tr w:rsidR="00D13399" w:rsidRPr="00D13399" w:rsidTr="00D13399">
        <w:trPr>
          <w:trHeight w:val="102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E63EA8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D13399" w:rsidRPr="00D13399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D13399" w:rsidRPr="00D13399" w:rsidTr="00D13399">
        <w:trPr>
          <w:trHeight w:val="418"/>
        </w:trPr>
        <w:tc>
          <w:tcPr>
            <w:tcW w:w="9345" w:type="dxa"/>
            <w:gridSpan w:val="2"/>
            <w:hideMark/>
          </w:tcPr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Компенсація чинному орендарю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1750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його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13399" w:rsidRPr="00D13399" w:rsidTr="00D13399">
        <w:trPr>
          <w:trHeight w:val="76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її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або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якої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землю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  <w:u w:val="single"/>
              </w:rPr>
            </w:pPr>
            <w:r w:rsidRPr="00D13399">
              <w:rPr>
                <w:rFonts w:ascii="Times New Roman" w:hAnsi="Times New Roman" w:cs="Times New Roman"/>
                <w:u w:val="single"/>
              </w:rPr>
              <w:t>https://drive.google.com/open?id=1HxjAwd-RnFtY5fbEs3m_6LpzLcKkbo2G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D133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поліпшень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 w:rsidP="00D13399">
            <w:pPr>
              <w:rPr>
                <w:rFonts w:ascii="Times New Roman" w:hAnsi="Times New Roman" w:cs="Times New Roman"/>
                <w:b/>
                <w:bCs/>
              </w:rPr>
            </w:pPr>
            <w:r w:rsidRPr="00D133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Інші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0</w:t>
            </w:r>
          </w:p>
        </w:tc>
      </w:tr>
      <w:tr w:rsidR="00D13399" w:rsidRPr="00D13399" w:rsidTr="00D13399">
        <w:trPr>
          <w:trHeight w:val="255"/>
        </w:trPr>
        <w:tc>
          <w:tcPr>
            <w:tcW w:w="9345" w:type="dxa"/>
            <w:gridSpan w:val="2"/>
            <w:hideMark/>
          </w:tcPr>
          <w:p w:rsidR="00D13399" w:rsidRPr="00D13399" w:rsidRDefault="00D13399" w:rsidP="00D13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13399" w:rsidRPr="00D13399" w:rsidTr="00D13399">
        <w:trPr>
          <w:trHeight w:val="510"/>
        </w:trPr>
        <w:tc>
          <w:tcPr>
            <w:tcW w:w="3681" w:type="dxa"/>
            <w:hideMark/>
          </w:tcPr>
          <w:p w:rsidR="00D13399" w:rsidRPr="00D13399" w:rsidRDefault="00E63EA8">
            <w:pPr>
              <w:rPr>
                <w:rFonts w:ascii="Times New Roman" w:hAnsi="Times New Roman" w:cs="Times New Roman"/>
                <w:u w:val="single"/>
              </w:rPr>
            </w:pPr>
            <w:hyperlink r:id="rId6" w:anchor="gid=718665470" w:history="1">
              <w:r w:rsidR="00D13399" w:rsidRPr="00D13399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8302</w:t>
            </w:r>
          </w:p>
        </w:tc>
      </w:tr>
      <w:tr w:rsidR="00D13399" w:rsidRPr="00D13399" w:rsidTr="00D13399">
        <w:trPr>
          <w:trHeight w:val="255"/>
        </w:trPr>
        <w:tc>
          <w:tcPr>
            <w:tcW w:w="9345" w:type="dxa"/>
            <w:gridSpan w:val="2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D13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Громадська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Ресурсний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ОСББ "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Добрий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дім</w:t>
            </w:r>
            <w:proofErr w:type="spellEnd"/>
            <w:r w:rsidRPr="00D13399">
              <w:rPr>
                <w:rFonts w:ascii="Times New Roman" w:hAnsi="Times New Roman" w:cs="Times New Roman"/>
              </w:rPr>
              <w:t>"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1-фев-2018</w:t>
            </w:r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рік</w:t>
            </w:r>
            <w:proofErr w:type="spellEnd"/>
            <w:r w:rsidRPr="00D13399">
              <w:rPr>
                <w:rFonts w:ascii="Times New Roman" w:hAnsi="Times New Roman" w:cs="Times New Roman"/>
              </w:rPr>
              <w:t>/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0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D13399">
              <w:rPr>
                <w:rFonts w:ascii="Times New Roman" w:hAnsi="Times New Roman" w:cs="Times New Roman"/>
              </w:rPr>
              <w:t>/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D13399">
              <w:rPr>
                <w:rFonts w:ascii="Times New Roman" w:hAnsi="Times New Roman" w:cs="Times New Roman"/>
              </w:rPr>
              <w:t>, 0 день/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D13399" w:rsidRPr="00D13399" w:rsidTr="00D13399">
        <w:trPr>
          <w:trHeight w:val="25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>1-фев-2021</w:t>
            </w:r>
          </w:p>
        </w:tc>
      </w:tr>
      <w:tr w:rsidR="00D13399" w:rsidRPr="00D13399" w:rsidTr="00D13399">
        <w:trPr>
          <w:trHeight w:val="1530"/>
        </w:trPr>
        <w:tc>
          <w:tcPr>
            <w:tcW w:w="3681" w:type="dxa"/>
            <w:noWrap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  <w:i/>
                <w:iCs/>
                <w:u w:val="single"/>
              </w:rPr>
              <w:t>переважне</w:t>
            </w:r>
            <w:proofErr w:type="spellEnd"/>
            <w:r w:rsidRPr="00D13399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право</w:t>
            </w:r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це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днів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через оператора электронного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через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він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подав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цінову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пропозицію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подає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затверджена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Наказом Фонду державного майна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20.08.2020 №1411, разом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підписаним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протоколом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>.</w:t>
            </w:r>
          </w:p>
        </w:tc>
      </w:tr>
      <w:tr w:rsidR="00D13399" w:rsidRPr="00D13399" w:rsidTr="00D13399">
        <w:trPr>
          <w:trHeight w:val="2805"/>
        </w:trPr>
        <w:tc>
          <w:tcPr>
            <w:tcW w:w="3681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r w:rsidRPr="00D1339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було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5664" w:type="dxa"/>
            <w:hideMark/>
          </w:tcPr>
          <w:p w:rsidR="00D13399" w:rsidRPr="00D13399" w:rsidRDefault="00D13399">
            <w:pPr>
              <w:rPr>
                <w:rFonts w:ascii="Times New Roman" w:hAnsi="Times New Roman" w:cs="Times New Roman"/>
              </w:rPr>
            </w:pPr>
            <w:proofErr w:type="spellStart"/>
            <w:r w:rsidRPr="00D13399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своє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дати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разі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майна.</w:t>
            </w:r>
            <w:r w:rsidRPr="00D13399">
              <w:rPr>
                <w:rFonts w:ascii="Times New Roman" w:hAnsi="Times New Roman" w:cs="Times New Roman"/>
              </w:rPr>
              <w:br/>
            </w:r>
            <w:r w:rsidRPr="00D13399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разі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що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крім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399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D13399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811F3D" w:rsidRPr="00D13399" w:rsidRDefault="00811F3D" w:rsidP="00D13399">
      <w:pPr>
        <w:rPr>
          <w:rFonts w:ascii="Times New Roman" w:hAnsi="Times New Roman" w:cs="Times New Roman"/>
        </w:rPr>
      </w:pPr>
    </w:p>
    <w:sectPr w:rsidR="00811F3D" w:rsidRPr="00D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0"/>
    <w:rsid w:val="00177B50"/>
    <w:rsid w:val="004B49CE"/>
    <w:rsid w:val="00601E02"/>
    <w:rsid w:val="006473F0"/>
    <w:rsid w:val="007E4FEF"/>
    <w:rsid w:val="00811F3D"/>
    <w:rsid w:val="00884D25"/>
    <w:rsid w:val="009845A0"/>
    <w:rsid w:val="00BA61D3"/>
    <w:rsid w:val="00D13399"/>
    <w:rsid w:val="00DC01C5"/>
    <w:rsid w:val="00E63EA8"/>
    <w:rsid w:val="00E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1C8"/>
  <w15:chartTrackingRefBased/>
  <w15:docId w15:val="{7CB2469B-9318-4A3F-BFD1-36A49EB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D3"/>
    <w:rPr>
      <w:color w:val="1155CC"/>
      <w:u w:val="single"/>
    </w:rPr>
  </w:style>
  <w:style w:type="table" w:styleId="a4">
    <w:name w:val="Table Grid"/>
    <w:basedOn w:val="a1"/>
    <w:uiPriority w:val="39"/>
    <w:rsid w:val="00BA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2021-02-15T13:10:00Z</dcterms:created>
  <dcterms:modified xsi:type="dcterms:W3CDTF">2021-02-16T13:04:00Z</dcterms:modified>
</cp:coreProperties>
</file>