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0" w:rsidRPr="00B618D6" w:rsidRDefault="00FD7580" w:rsidP="00FD7580">
      <w:pPr>
        <w:pStyle w:val="2"/>
        <w:ind w:left="7655"/>
        <w:rPr>
          <w:sz w:val="24"/>
          <w:szCs w:val="24"/>
        </w:rPr>
      </w:pPr>
      <w:bookmarkStart w:id="0" w:name="_Hlk13581519"/>
      <w:r w:rsidRPr="00B618D6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  <w:bookmarkStart w:id="1" w:name="_GoBack"/>
      <w:bookmarkEnd w:id="1"/>
      <w:r w:rsidRPr="00B618D6">
        <w:rPr>
          <w:sz w:val="24"/>
          <w:szCs w:val="24"/>
        </w:rPr>
        <w:t xml:space="preserve"> </w:t>
      </w:r>
    </w:p>
    <w:p w:rsidR="00FD7580" w:rsidRDefault="00FD7580" w:rsidP="00FD7580">
      <w:pPr>
        <w:shd w:val="clear" w:color="auto" w:fill="FFFFFF"/>
        <w:spacing w:after="150" w:line="240" w:lineRule="auto"/>
        <w:ind w:left="836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15E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FA15E4">
        <w:rPr>
          <w:rFonts w:ascii="Times New Roman" w:hAnsi="Times New Roman" w:cs="Times New Roman"/>
          <w:bCs/>
          <w:sz w:val="24"/>
          <w:szCs w:val="24"/>
          <w:lang w:val="uk-UA"/>
        </w:rPr>
        <w:t>2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27 сесії Харківської міської ради 7 скликання від 19.06.2019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FA15E4">
        <w:rPr>
          <w:rFonts w:ascii="Times New Roman" w:hAnsi="Times New Roman" w:cs="Times New Roman"/>
          <w:bCs/>
          <w:sz w:val="24"/>
          <w:szCs w:val="24"/>
          <w:lang w:val="uk-UA"/>
        </w:rPr>
        <w:t>1624/19 «Про приватизацію об’єктів комунальної власності територіальної громади м</w:t>
      </w:r>
      <w:r w:rsidRPr="00FA15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18D6">
        <w:rPr>
          <w:rFonts w:ascii="Times New Roman" w:hAnsi="Times New Roman" w:cs="Times New Roman"/>
          <w:sz w:val="24"/>
          <w:szCs w:val="24"/>
        </w:rPr>
        <w:t> </w:t>
      </w:r>
      <w:r w:rsidRPr="00FA15E4">
        <w:rPr>
          <w:rFonts w:ascii="Times New Roman" w:hAnsi="Times New Roman" w:cs="Times New Roman"/>
          <w:sz w:val="24"/>
          <w:szCs w:val="24"/>
          <w:lang w:val="uk-UA"/>
        </w:rPr>
        <w:t>Харкова</w:t>
      </w:r>
      <w:bookmarkEnd w:id="0"/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нежитлових приміщень</w:t>
      </w:r>
      <w:r w:rsidR="00DF7BDD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поверху № 1-1-:-1-3 загальною площею 50,1 кв.м в нежитловій будівлі літ. «А-2»</w:t>
      </w:r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вул. </w:t>
      </w:r>
      <w:proofErr w:type="spellStart"/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Гвардійців-Широнінців</w:t>
      </w:r>
      <w:proofErr w:type="spellEnd"/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>, 83/26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F618D3" w:rsidRPr="00247C52" w:rsidRDefault="00BB527E" w:rsidP="00C15DE5">
            <w:pPr>
              <w:pStyle w:val="a8"/>
              <w:ind w:firstLine="567"/>
            </w:pPr>
            <w:r>
              <w:rPr>
                <w:bCs/>
                <w:lang w:val="ru-RU"/>
              </w:rPr>
              <w:t>Н</w:t>
            </w:r>
            <w:proofErr w:type="spellStart"/>
            <w:r w:rsidR="001A177E" w:rsidRPr="00BB527E">
              <w:rPr>
                <w:bCs/>
              </w:rPr>
              <w:t>ежитлові</w:t>
            </w:r>
            <w:proofErr w:type="spellEnd"/>
            <w:r w:rsidR="001A177E" w:rsidRPr="00BB527E">
              <w:rPr>
                <w:bCs/>
              </w:rPr>
              <w:t xml:space="preserve"> приміщення </w:t>
            </w:r>
            <w:r w:rsidR="00DF7BDD" w:rsidRPr="00BB527E">
              <w:rPr>
                <w:bCs/>
              </w:rPr>
              <w:t>1-го поверху № 1-1-:-1-3 загальною площею 50,1 кв. м в нежитловій буді</w:t>
            </w:r>
            <w:proofErr w:type="gramStart"/>
            <w:r w:rsidR="00DF7BDD" w:rsidRPr="00BB527E">
              <w:rPr>
                <w:bCs/>
              </w:rPr>
              <w:t>вл</w:t>
            </w:r>
            <w:proofErr w:type="gramEnd"/>
            <w:r w:rsidR="00DF7BDD" w:rsidRPr="00BB527E">
              <w:rPr>
                <w:bCs/>
              </w:rPr>
              <w:t>і літ. «А-2»</w:t>
            </w:r>
            <w:r w:rsidR="001A177E" w:rsidRPr="00BB527E">
              <w:rPr>
                <w:bCs/>
              </w:rPr>
              <w:t xml:space="preserve"> </w:t>
            </w:r>
            <w:r w:rsidR="001A177E" w:rsidRPr="00BB527E">
              <w:t>в Московському районі міста за адресою: м. Харків,</w:t>
            </w:r>
            <w:r w:rsidR="001A177E" w:rsidRPr="00BB527E">
              <w:rPr>
                <w:bCs/>
              </w:rPr>
              <w:t xml:space="preserve"> вул. </w:t>
            </w:r>
            <w:proofErr w:type="spellStart"/>
            <w:r w:rsidR="001A177E" w:rsidRPr="00BB527E">
              <w:rPr>
                <w:bCs/>
              </w:rPr>
              <w:t>Гвардійців-Широнінців</w:t>
            </w:r>
            <w:proofErr w:type="spellEnd"/>
            <w:r w:rsidR="001A177E" w:rsidRPr="00BB527E">
              <w:rPr>
                <w:bCs/>
              </w:rPr>
              <w:t>, 83/26</w:t>
            </w:r>
            <w:r w:rsidR="00853680" w:rsidRPr="00BB527E">
              <w:t>. Рік побудов</w:t>
            </w:r>
            <w:r w:rsidR="00A63477" w:rsidRPr="00BB527E">
              <w:t>и –19</w:t>
            </w:r>
            <w:r w:rsidR="00581D55">
              <w:t>78</w:t>
            </w:r>
            <w:r w:rsidR="00853680" w:rsidRPr="00BB527E">
              <w:t>.</w:t>
            </w:r>
            <w:r w:rsidR="00C15DE5" w:rsidRPr="00BB527E">
              <w:t xml:space="preserve"> Стіни</w:t>
            </w:r>
            <w:r w:rsidR="001A177E" w:rsidRPr="00BB527E">
              <w:t> –</w:t>
            </w:r>
            <w:r w:rsidR="001A177E" w:rsidRPr="00BB527E">
              <w:rPr>
                <w:lang w:val="en-US"/>
              </w:rPr>
              <w:t> </w:t>
            </w:r>
            <w:r w:rsidR="00DF7BDD" w:rsidRPr="00BB527E">
              <w:t>керамзитобетонні.</w:t>
            </w:r>
            <w:r w:rsidR="00F618D3" w:rsidRPr="00BB527E">
              <w:t xml:space="preserve"> </w:t>
            </w:r>
            <w:r w:rsidR="007E2645" w:rsidRPr="00BB527E">
              <w:t xml:space="preserve">Планування приміщень відповідає технічному плану. </w:t>
            </w:r>
            <w:bookmarkStart w:id="2" w:name="_Hlk6389308"/>
            <w:r w:rsidR="00552E04" w:rsidRPr="00BB527E">
              <w:t xml:space="preserve">Приміщення </w:t>
            </w:r>
            <w:r w:rsidR="001A177E" w:rsidRPr="00BB527E">
              <w:t>потребують проведення ремонтних робіт.</w:t>
            </w:r>
            <w:r w:rsidR="00F618D3" w:rsidRPr="00BB527E">
              <w:t xml:space="preserve"> </w:t>
            </w:r>
            <w:r w:rsidR="007E2645" w:rsidRPr="00BB527E">
              <w:t>Електропостачання</w:t>
            </w:r>
            <w:r w:rsidR="007E2645">
              <w:t xml:space="preserve"> є</w:t>
            </w:r>
            <w:r w:rsidR="001A177E">
              <w:t>.</w:t>
            </w:r>
            <w:r w:rsidR="007E2645">
              <w:t xml:space="preserve"> В</w:t>
            </w:r>
            <w:r w:rsidR="00552E04">
              <w:t>одопостачання</w:t>
            </w:r>
            <w:r w:rsidR="001A177E">
              <w:t xml:space="preserve">, </w:t>
            </w:r>
            <w:r w:rsidR="00552E04">
              <w:t xml:space="preserve"> </w:t>
            </w:r>
            <w:r w:rsidR="00F618D3" w:rsidRPr="00F0116C">
              <w:t xml:space="preserve">водовідведення </w:t>
            </w:r>
            <w:r w:rsidR="001A177E">
              <w:t>та опалення немає</w:t>
            </w:r>
            <w:r w:rsidR="00552E04">
              <w:t>.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3" w:name="_Hlk6389391"/>
            <w:bookmarkEnd w:id="2"/>
            <w:r w:rsidRPr="00247C52">
              <w:t xml:space="preserve">Право власності зареєстровано </w:t>
            </w:r>
            <w:r w:rsidR="00DF7BDD">
              <w:t>23</w:t>
            </w:r>
            <w:r w:rsidR="00C15DE5">
              <w:t>.</w:t>
            </w:r>
            <w:r w:rsidR="00DF7BDD">
              <w:t>12</w:t>
            </w:r>
            <w:r w:rsidR="00C15DE5">
              <w:t>.201</w:t>
            </w:r>
            <w:r w:rsidR="00DF7BDD">
              <w:t>5</w:t>
            </w:r>
            <w:r w:rsidRPr="00247C52">
              <w:t xml:space="preserve">, реєстраційний номер </w:t>
            </w:r>
            <w:r w:rsidR="00DF7BDD">
              <w:t>8270266</w:t>
            </w:r>
            <w:r w:rsidR="00247C52">
              <w:t>63101</w:t>
            </w:r>
            <w:r w:rsidRPr="00247C52">
              <w:t>.</w:t>
            </w:r>
            <w:bookmarkEnd w:id="3"/>
          </w:p>
        </w:tc>
      </w:tr>
      <w:tr w:rsidR="00853680" w:rsidRPr="000446AE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853680" w:rsidRPr="00492382" w:rsidRDefault="00E6722C" w:rsidP="00DF7BDD">
            <w:pPr>
              <w:jc w:val="both"/>
              <w:rPr>
                <w:color w:val="000000"/>
              </w:rPr>
            </w:pPr>
            <w:bookmarkStart w:id="4" w:name="_Hlk6389361"/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нежитлові приміщення 1-го поверху 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 1-1 -:- 1-3 </w:t>
            </w:r>
            <w:r w:rsidR="00DF7BDD" w:rsidRP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агальною площею 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50,1</w:t>
            </w:r>
            <w:r w:rsidRPr="00E6722C">
              <w:t> 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 w:rsidRPr="00E6722C">
              <w:t> 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в нежитловій будівлі літ. «А-2» за адресою: м. Харків, вул. </w:t>
            </w:r>
            <w:proofErr w:type="spellStart"/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Гвардійців-Широнінців</w:t>
            </w:r>
            <w:proofErr w:type="spellEnd"/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83/26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оренді у 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особи – підприємця               Семенової Т.В.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 місячної орендної плати складав </w:t>
            </w:r>
            <w:bookmarkStart w:id="5" w:name="_Hlk11142392"/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AA534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травні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196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740,78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bookmarkEnd w:id="5"/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Строк дії договору оренди № 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до </w:t>
            </w:r>
            <w:r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F7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1A1196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4"/>
          </w:p>
        </w:tc>
      </w:tr>
      <w:tr w:rsidR="00E6722C" w:rsidRPr="00492382">
        <w:trPr>
          <w:cantSplit/>
        </w:trPr>
        <w:tc>
          <w:tcPr>
            <w:tcW w:w="5387" w:type="dxa"/>
          </w:tcPr>
          <w:p w:rsidR="00E6722C" w:rsidRPr="00492382" w:rsidRDefault="00E6722C" w:rsidP="00E6722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E6722C" w:rsidRPr="00455D31" w:rsidRDefault="00E6722C" w:rsidP="00E6722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7" w:history="1"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vpfv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.10@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gmail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>
        <w:trPr>
          <w:cantSplit/>
          <w:trHeight w:val="774"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F7B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DF7B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DF7B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BB52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07.08.</w:t>
            </w:r>
            <w:r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FA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(сьом</w:t>
            </w:r>
            <w:r w:rsidR="000902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="00BB52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серпня дві тисячі </w:t>
            </w:r>
            <w:proofErr w:type="spellStart"/>
            <w:r w:rsidR="00BB52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BB527E" w:rsidRP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BB52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BB52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складає 2</w:t>
            </w:r>
            <w:r w:rsidR="001D3FF8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492382">
              <w:rPr>
                <w:color w:val="000000"/>
              </w:rPr>
              <w:t xml:space="preserve">– </w:t>
            </w:r>
            <w:bookmarkStart w:id="6" w:name="_Hlk6389414"/>
            <w:r w:rsidR="00E6722C">
              <w:rPr>
                <w:color w:val="000000"/>
                <w:lang w:val="ru-RU"/>
              </w:rPr>
              <w:t>1</w:t>
            </w:r>
            <w:r w:rsidR="00DF7BDD">
              <w:rPr>
                <w:color w:val="000000"/>
                <w:lang w:val="ru-RU"/>
              </w:rPr>
              <w:t>46</w:t>
            </w:r>
            <w:r w:rsidR="001A1196">
              <w:rPr>
                <w:color w:val="000000"/>
                <w:lang w:val="ru-RU"/>
              </w:rPr>
              <w:t> </w:t>
            </w:r>
            <w:r w:rsidR="00DF7BDD">
              <w:rPr>
                <w:color w:val="000000"/>
                <w:lang w:val="ru-RU"/>
              </w:rPr>
              <w:t>749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6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DF7BDD">
              <w:rPr>
                <w:color w:val="000000"/>
              </w:rPr>
              <w:t>73</w:t>
            </w:r>
            <w:r w:rsidR="00DF7BDD">
              <w:rPr>
                <w:color w:val="000000"/>
                <w:lang w:val="ru-RU"/>
              </w:rPr>
              <w:t> 374,5</w:t>
            </w:r>
            <w:r w:rsidR="00E6722C">
              <w:rPr>
                <w:color w:val="000000"/>
                <w:lang w:val="ru-RU"/>
              </w:rPr>
              <w:t>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DF7BDD">
              <w:rPr>
                <w:color w:val="000000"/>
              </w:rPr>
              <w:t>73</w:t>
            </w:r>
            <w:r w:rsidR="00DF7BDD">
              <w:rPr>
                <w:color w:val="000000"/>
                <w:lang w:val="ru-RU"/>
              </w:rPr>
              <w:t> 374,50</w:t>
            </w:r>
            <w:r w:rsidR="00F834D5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853680" w:rsidRPr="00492382" w:rsidRDefault="00853680" w:rsidP="001A1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в розмірі 10 відсотків стартової ціни 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11513F">
              <w:t xml:space="preserve">– </w:t>
            </w:r>
            <w:r w:rsidR="00E6722C">
              <w:rPr>
                <w:lang w:val="ru-RU"/>
              </w:rPr>
              <w:t>1</w:t>
            </w:r>
            <w:r w:rsidR="00DF7BDD">
              <w:rPr>
                <w:lang w:val="ru-RU"/>
              </w:rPr>
              <w:t>4</w:t>
            </w:r>
            <w:r w:rsidR="00E6722C">
              <w:rPr>
                <w:lang w:val="ru-RU"/>
              </w:rPr>
              <w:t> </w:t>
            </w:r>
            <w:r w:rsidR="00DF7BDD">
              <w:rPr>
                <w:lang w:val="ru-RU"/>
              </w:rPr>
              <w:t>674</w:t>
            </w:r>
            <w:r w:rsidR="00E6722C">
              <w:rPr>
                <w:lang w:val="ru-RU"/>
              </w:rPr>
              <w:t>,</w:t>
            </w:r>
            <w:r w:rsidR="00DF7BDD">
              <w:rPr>
                <w:lang w:val="ru-RU"/>
              </w:rPr>
              <w:t>9</w:t>
            </w:r>
            <w:r w:rsidR="00E6722C">
              <w:rPr>
                <w:lang w:val="ru-RU"/>
              </w:rPr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834D5">
              <w:t xml:space="preserve"> </w:t>
            </w:r>
            <w:r w:rsidR="00DF7BDD">
              <w:rPr>
                <w:color w:val="000000"/>
                <w:lang w:val="ru-RU"/>
              </w:rPr>
              <w:t>7</w:t>
            </w:r>
            <w:r w:rsidR="00F834D5">
              <w:rPr>
                <w:color w:val="000000"/>
                <w:lang w:val="ru-RU"/>
              </w:rPr>
              <w:t> </w:t>
            </w:r>
            <w:r w:rsidR="00DF7BDD">
              <w:rPr>
                <w:color w:val="000000"/>
                <w:lang w:val="ru-RU"/>
              </w:rPr>
              <w:t>337</w:t>
            </w:r>
            <w:r w:rsidR="001A1196">
              <w:rPr>
                <w:color w:val="000000"/>
                <w:lang w:val="ru-RU"/>
              </w:rPr>
              <w:t>,</w:t>
            </w:r>
            <w:r w:rsidR="00DF7BDD">
              <w:rPr>
                <w:color w:val="000000"/>
                <w:lang w:val="ru-RU"/>
              </w:rPr>
              <w:t>4</w:t>
            </w:r>
            <w:r w:rsidR="00E6722C">
              <w:rPr>
                <w:color w:val="000000"/>
                <w:lang w:val="ru-RU"/>
              </w:rPr>
              <w:t>5</w:t>
            </w:r>
            <w:r w:rsidR="00F834D5">
              <w:rPr>
                <w:color w:val="000000"/>
                <w:lang w:val="ru-RU"/>
              </w:rPr>
              <w:t xml:space="preserve">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</w:p>
        </w:tc>
      </w:tr>
      <w:tr w:rsidR="00853680" w:rsidRPr="00492382" w:rsidTr="001A1196">
        <w:trPr>
          <w:cantSplit/>
          <w:trHeight w:val="820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DF7BDD">
              <w:rPr>
                <w:color w:val="000000"/>
                <w:lang w:val="ru-RU"/>
              </w:rPr>
              <w:t>7</w:t>
            </w:r>
            <w:r w:rsidR="00E6722C">
              <w:rPr>
                <w:color w:val="000000"/>
                <w:lang w:val="ru-RU"/>
              </w:rPr>
              <w:t> </w:t>
            </w:r>
            <w:r w:rsidR="00DF7BDD">
              <w:rPr>
                <w:color w:val="000000"/>
                <w:lang w:val="ru-RU"/>
              </w:rPr>
              <w:t>337</w:t>
            </w:r>
            <w:r w:rsidR="00E6722C">
              <w:rPr>
                <w:color w:val="000000"/>
                <w:lang w:val="ru-RU"/>
              </w:rPr>
              <w:t>,</w:t>
            </w:r>
            <w:r w:rsidR="00DF7BDD">
              <w:rPr>
                <w:color w:val="000000"/>
                <w:lang w:val="ru-RU"/>
              </w:rPr>
              <w:t>4</w:t>
            </w:r>
            <w:r w:rsidR="00E6722C">
              <w:rPr>
                <w:color w:val="000000"/>
                <w:lang w:val="ru-RU"/>
              </w:rPr>
              <w:t>5</w:t>
            </w:r>
            <w:r w:rsidR="00F834D5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853680" w:rsidRPr="00492382" w:rsidRDefault="000566C5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календарних днів з дня затвердження протоколу аукціону перераховує їх до бюджету міста Харкова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C51A49">
        <w:trPr>
          <w:cantSplit/>
          <w:trHeight w:val="2122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492382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Умовою продажу даного об’єкта є 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збереження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3B02F3">
        <w:trPr>
          <w:cantSplit/>
          <w:trHeight w:val="1272"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55E7" w:rsidRPr="00247C52">
        <w:trPr>
          <w:cantSplit/>
        </w:trPr>
        <w:tc>
          <w:tcPr>
            <w:tcW w:w="5387" w:type="dxa"/>
          </w:tcPr>
          <w:p w:rsidR="009855E7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492382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8" w:name="_Hlk6476606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8"/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highlight w:val="green"/>
                <w:lang w:val="uk-UA"/>
              </w:rPr>
            </w:pP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1A1196" w:rsidRDefault="009855E7" w:rsidP="00E6722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28662B" w:rsidRPr="00581D55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492382" w:rsidRDefault="008C4FF5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581D55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492382" w:rsidRDefault="0028662B" w:rsidP="006E0D0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6E0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="000D770A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6E0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229 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9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6E0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6E0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10.07</w:t>
            </w:r>
            <w:r w:rsidR="003801D6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9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19.06.2019 №1624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1068FD" w:rsidRPr="001A1196" w:rsidRDefault="00DF7BDD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B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UA-AR-P-2019-06-20-000002-3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0" w:name="_Hlk6389604"/>
            <w:r w:rsidR="00E67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</w:t>
            </w:r>
            <w:r w:rsidR="00DF7B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</w:t>
            </w:r>
            <w:r w:rsidR="00E67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DF7B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1" w:name="_Hlk6389625"/>
            <w:r w:rsidR="003B02F3">
              <w:rPr>
                <w:color w:val="000000"/>
              </w:rPr>
              <w:t xml:space="preserve"> </w:t>
            </w:r>
            <w:r w:rsidR="00DF7BDD">
              <w:rPr>
                <w:color w:val="000000"/>
              </w:rPr>
              <w:t>733</w:t>
            </w:r>
            <w:r w:rsidR="001A1196">
              <w:rPr>
                <w:color w:val="000000"/>
              </w:rPr>
              <w:t>,</w:t>
            </w:r>
            <w:r w:rsidR="00DF7BDD">
              <w:rPr>
                <w:color w:val="000000"/>
              </w:rPr>
              <w:t>75</w:t>
            </w:r>
            <w:r w:rsidRPr="00492382">
              <w:rPr>
                <w:color w:val="000000"/>
              </w:rPr>
              <w:t xml:space="preserve"> </w:t>
            </w:r>
            <w:bookmarkEnd w:id="11"/>
            <w:r w:rsidRPr="00492382">
              <w:rPr>
                <w:color w:val="000000"/>
              </w:rPr>
              <w:t>грн.</w:t>
            </w:r>
          </w:p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DF7BDD">
              <w:rPr>
                <w:color w:val="000000"/>
              </w:rPr>
              <w:t>733,75</w:t>
            </w:r>
            <w:r w:rsidR="005D157E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2" w:name="n225"/>
            <w:bookmarkEnd w:id="12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10064" w:type="dxa"/>
          </w:tcPr>
          <w:p w:rsidR="0028662B" w:rsidRPr="00492382" w:rsidRDefault="006E0D01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28662B" w:rsidRPr="00581D55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492382" w:rsidRDefault="008C4FF5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>
        <w:trPr>
          <w:cantSplit/>
          <w:trHeight w:val="275"/>
        </w:trPr>
        <w:tc>
          <w:tcPr>
            <w:tcW w:w="5387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E130E8" w:rsidRDefault="00176155" w:rsidP="00176155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915EF7">
      <w:headerReference w:type="default" r:id="rId11"/>
      <w:footerReference w:type="default" r:id="rId12"/>
      <w:pgSz w:w="16838" w:h="11906" w:orient="landscape"/>
      <w:pgMar w:top="709" w:right="536" w:bottom="85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55" w:rsidRDefault="00581D55" w:rsidP="00C3342C">
      <w:pPr>
        <w:spacing w:after="0" w:line="240" w:lineRule="auto"/>
      </w:pPr>
      <w:r>
        <w:separator/>
      </w:r>
    </w:p>
  </w:endnote>
  <w:endnote w:type="continuationSeparator" w:id="0">
    <w:p w:rsidR="00581D55" w:rsidRDefault="00581D55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406065"/>
      <w:docPartObj>
        <w:docPartGallery w:val="Page Numbers (Bottom of Page)"/>
        <w:docPartUnique/>
      </w:docPartObj>
    </w:sdtPr>
    <w:sdtContent>
      <w:p w:rsidR="00581D55" w:rsidRDefault="00581D55">
        <w:pPr>
          <w:pStyle w:val="ac"/>
          <w:jc w:val="right"/>
        </w:pPr>
        <w:fldSimple w:instr="PAGE   \* MERGEFORMAT">
          <w:r w:rsidR="00727064">
            <w:rPr>
              <w:noProof/>
            </w:rPr>
            <w:t>8</w:t>
          </w:r>
        </w:fldSimple>
      </w:p>
    </w:sdtContent>
  </w:sdt>
  <w:p w:rsidR="00581D55" w:rsidRDefault="00581D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55" w:rsidRDefault="00581D55" w:rsidP="00C3342C">
      <w:pPr>
        <w:spacing w:after="0" w:line="240" w:lineRule="auto"/>
      </w:pPr>
      <w:r>
        <w:separator/>
      </w:r>
    </w:p>
  </w:footnote>
  <w:footnote w:type="continuationSeparator" w:id="0">
    <w:p w:rsidR="00581D55" w:rsidRDefault="00581D55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5" w:rsidRPr="00D52A59" w:rsidRDefault="00581D55" w:rsidP="00D47950">
    <w:pPr>
      <w:pStyle w:val="aa"/>
      <w:ind w:firstLine="1346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719E1"/>
    <w:rsid w:val="0007409D"/>
    <w:rsid w:val="00075814"/>
    <w:rsid w:val="000822E1"/>
    <w:rsid w:val="00090240"/>
    <w:rsid w:val="000B26C1"/>
    <w:rsid w:val="000C3757"/>
    <w:rsid w:val="000D23F7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1196"/>
    <w:rsid w:val="001A177E"/>
    <w:rsid w:val="001A4A69"/>
    <w:rsid w:val="001D3FF8"/>
    <w:rsid w:val="001D4328"/>
    <w:rsid w:val="001F23D7"/>
    <w:rsid w:val="001F2D96"/>
    <w:rsid w:val="00217759"/>
    <w:rsid w:val="002203DA"/>
    <w:rsid w:val="002362C9"/>
    <w:rsid w:val="00247C52"/>
    <w:rsid w:val="00252380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23E2"/>
    <w:rsid w:val="003801D6"/>
    <w:rsid w:val="0039015E"/>
    <w:rsid w:val="003B02F3"/>
    <w:rsid w:val="003C6179"/>
    <w:rsid w:val="003D441E"/>
    <w:rsid w:val="003F7EDA"/>
    <w:rsid w:val="00430E3A"/>
    <w:rsid w:val="004350E7"/>
    <w:rsid w:val="00455D31"/>
    <w:rsid w:val="00492382"/>
    <w:rsid w:val="00493748"/>
    <w:rsid w:val="004B34A9"/>
    <w:rsid w:val="004B4984"/>
    <w:rsid w:val="004C5E4B"/>
    <w:rsid w:val="004D6DF4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81D55"/>
    <w:rsid w:val="00590DC2"/>
    <w:rsid w:val="00594325"/>
    <w:rsid w:val="005C3BD9"/>
    <w:rsid w:val="005C4CB0"/>
    <w:rsid w:val="005D157E"/>
    <w:rsid w:val="005F46F1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6A4D4D"/>
    <w:rsid w:val="006E0D01"/>
    <w:rsid w:val="00704D38"/>
    <w:rsid w:val="00727064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E2645"/>
    <w:rsid w:val="007F5976"/>
    <w:rsid w:val="007F77D5"/>
    <w:rsid w:val="008042F1"/>
    <w:rsid w:val="008105BF"/>
    <w:rsid w:val="008176E2"/>
    <w:rsid w:val="008400A0"/>
    <w:rsid w:val="00840765"/>
    <w:rsid w:val="008452BB"/>
    <w:rsid w:val="00853680"/>
    <w:rsid w:val="00896087"/>
    <w:rsid w:val="008A020E"/>
    <w:rsid w:val="008B5A09"/>
    <w:rsid w:val="008C4FF5"/>
    <w:rsid w:val="008E15B9"/>
    <w:rsid w:val="008E7665"/>
    <w:rsid w:val="00915EF7"/>
    <w:rsid w:val="00924B8B"/>
    <w:rsid w:val="00961893"/>
    <w:rsid w:val="00977ACA"/>
    <w:rsid w:val="009855E7"/>
    <w:rsid w:val="009A48BF"/>
    <w:rsid w:val="009A7870"/>
    <w:rsid w:val="009C7F0E"/>
    <w:rsid w:val="00A00A68"/>
    <w:rsid w:val="00A102DA"/>
    <w:rsid w:val="00A244D4"/>
    <w:rsid w:val="00A4447F"/>
    <w:rsid w:val="00A51BBA"/>
    <w:rsid w:val="00A524AB"/>
    <w:rsid w:val="00A5265A"/>
    <w:rsid w:val="00A63477"/>
    <w:rsid w:val="00A97416"/>
    <w:rsid w:val="00AA534E"/>
    <w:rsid w:val="00AB5D6E"/>
    <w:rsid w:val="00AC0338"/>
    <w:rsid w:val="00AC7476"/>
    <w:rsid w:val="00AD7957"/>
    <w:rsid w:val="00AE5B08"/>
    <w:rsid w:val="00B1330B"/>
    <w:rsid w:val="00B33814"/>
    <w:rsid w:val="00B41FB0"/>
    <w:rsid w:val="00B71C5E"/>
    <w:rsid w:val="00B91B59"/>
    <w:rsid w:val="00B9302B"/>
    <w:rsid w:val="00BA0AC1"/>
    <w:rsid w:val="00BA719B"/>
    <w:rsid w:val="00BB527E"/>
    <w:rsid w:val="00BE67A4"/>
    <w:rsid w:val="00BF1AC9"/>
    <w:rsid w:val="00C10000"/>
    <w:rsid w:val="00C126F1"/>
    <w:rsid w:val="00C13393"/>
    <w:rsid w:val="00C15DE5"/>
    <w:rsid w:val="00C16F66"/>
    <w:rsid w:val="00C31534"/>
    <w:rsid w:val="00C3342C"/>
    <w:rsid w:val="00C51A49"/>
    <w:rsid w:val="00C57C64"/>
    <w:rsid w:val="00D03110"/>
    <w:rsid w:val="00D2251D"/>
    <w:rsid w:val="00D300DB"/>
    <w:rsid w:val="00D34DD4"/>
    <w:rsid w:val="00D43DCE"/>
    <w:rsid w:val="00D47950"/>
    <w:rsid w:val="00D5178F"/>
    <w:rsid w:val="00D52A59"/>
    <w:rsid w:val="00D5580E"/>
    <w:rsid w:val="00D57A26"/>
    <w:rsid w:val="00D6428E"/>
    <w:rsid w:val="00DD5655"/>
    <w:rsid w:val="00DF3D23"/>
    <w:rsid w:val="00DF6238"/>
    <w:rsid w:val="00DF7BDD"/>
    <w:rsid w:val="00E0497C"/>
    <w:rsid w:val="00E130E8"/>
    <w:rsid w:val="00E511D7"/>
    <w:rsid w:val="00E6722C"/>
    <w:rsid w:val="00E72116"/>
    <w:rsid w:val="00E82434"/>
    <w:rsid w:val="00E90D8B"/>
    <w:rsid w:val="00EF1EFF"/>
    <w:rsid w:val="00F0116C"/>
    <w:rsid w:val="00F04ADB"/>
    <w:rsid w:val="00F36314"/>
    <w:rsid w:val="00F43B1D"/>
    <w:rsid w:val="00F46721"/>
    <w:rsid w:val="00F574D2"/>
    <w:rsid w:val="00F6004A"/>
    <w:rsid w:val="00F618D3"/>
    <w:rsid w:val="00F62B0E"/>
    <w:rsid w:val="00F71C12"/>
    <w:rsid w:val="00F834D5"/>
    <w:rsid w:val="00F92A50"/>
    <w:rsid w:val="00FA15E4"/>
    <w:rsid w:val="00FB22FB"/>
    <w:rsid w:val="00FD121D"/>
    <w:rsid w:val="00FD7580"/>
    <w:rsid w:val="00FD7C3F"/>
    <w:rsid w:val="00FE22B6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D75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FD7580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1393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10</cp:revision>
  <cp:lastPrinted>2019-07-16T13:24:00Z</cp:lastPrinted>
  <dcterms:created xsi:type="dcterms:W3CDTF">2019-07-08T14:19:00Z</dcterms:created>
  <dcterms:modified xsi:type="dcterms:W3CDTF">2019-07-16T15:01:00Z</dcterms:modified>
</cp:coreProperties>
</file>