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916AD4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r w:rsidR="00132355" w:rsidRPr="00916A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132355" w:rsidRPr="00916AD4">
        <w:rPr>
          <w:b/>
          <w:sz w:val="28"/>
          <w:szCs w:val="28"/>
          <w:lang w:val="uk-UA"/>
        </w:rPr>
        <w:t xml:space="preserve">Приміщення №№ 16, 17, частина приміщення І  (20,2 </w:t>
      </w:r>
      <w:proofErr w:type="spellStart"/>
      <w:r w:rsidR="00132355" w:rsidRPr="00916AD4">
        <w:rPr>
          <w:b/>
          <w:sz w:val="28"/>
          <w:szCs w:val="28"/>
          <w:lang w:val="uk-UA"/>
        </w:rPr>
        <w:t>кв.м</w:t>
      </w:r>
      <w:proofErr w:type="spellEnd"/>
      <w:r w:rsidR="00132355" w:rsidRPr="00916AD4">
        <w:rPr>
          <w:b/>
          <w:sz w:val="28"/>
          <w:szCs w:val="28"/>
          <w:lang w:val="uk-UA"/>
        </w:rPr>
        <w:t>) на третьому поверсі поліклініки.</w:t>
      </w:r>
      <w:r w:rsidR="00132355" w:rsidRPr="00916AD4">
        <w:rPr>
          <w:b/>
          <w:sz w:val="28"/>
          <w:szCs w:val="28"/>
          <w:lang w:val="uk-UA"/>
        </w:rPr>
        <w:t>»</w:t>
      </w:r>
      <w:bookmarkStart w:id="0" w:name="_GoBack"/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bookmarkEnd w:id="0"/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знаходиться за адресою: </w:t>
            </w:r>
            <w:r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991BEF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991BEF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991BEF">
              <w:rPr>
                <w:rFonts w:ascii="Times New Roman" w:hAnsi="Times New Roman" w:cs="Times New Roman"/>
                <w:lang w:val="uk-UA"/>
              </w:rPr>
              <w:t xml:space="preserve"> 87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Красноградської районної ради від 20 серпня 2020 року № 1371-</w:t>
            </w:r>
            <w:r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Pr="004322CA">
              <w:rPr>
                <w:rFonts w:ascii="Times New Roman" w:hAnsi="Times New Roman" w:cs="Times New Roman"/>
              </w:rPr>
              <w:t>.</w:t>
            </w:r>
          </w:p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,2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77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1380,54</w:t>
            </w: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B7474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2761,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991BE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13.85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132355"/>
    <w:rsid w:val="003021F3"/>
    <w:rsid w:val="004B39CC"/>
    <w:rsid w:val="004B67DF"/>
    <w:rsid w:val="006253C3"/>
    <w:rsid w:val="00650795"/>
    <w:rsid w:val="006F538F"/>
    <w:rsid w:val="008877EB"/>
    <w:rsid w:val="00916AD4"/>
    <w:rsid w:val="00991BEF"/>
    <w:rsid w:val="00B07A5C"/>
    <w:rsid w:val="00B74743"/>
    <w:rsid w:val="00CF6E91"/>
    <w:rsid w:val="00E02042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2020-09-21T07:56:00Z</dcterms:created>
  <dcterms:modified xsi:type="dcterms:W3CDTF">2020-09-21T10:50:00Z</dcterms:modified>
</cp:coreProperties>
</file>