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нежитлових приміщень  площею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118,2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Вербицького Архітектора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7-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215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12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202-61-77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підприємство «Київтеплоенерго»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40538421,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Франка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5,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01001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118,2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розташовані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Вербицького Архітектора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  <w:br w:type="textWrapping"/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7-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 та обліковуються на балансі КП «Київтеплоенерго»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207320,81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301500,00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Вербицького Архітектора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7-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118,2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корисна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93,8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приєднана потужність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10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водопостачання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теплопостачання – в наявності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газопостачання – відсутнє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Особовий рахунок на ЦО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ГВП №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450494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не приймалось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включено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 підлягає приватизації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2073,21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сімдесят три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1036,61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одна тисяча тридцять шість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1036,61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одна тисяча тридцять шість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61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3526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може бути використане за цільовим призначенням на розсуд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винятком таких цільових призначень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Заклади харчування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ресторани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Торговельні об’єкти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Нічні клуби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Ресторани з нічним режимом роботи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після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Сауни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лазні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Організація концертів та іншої видовищно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розважальної діяльності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хостели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турбази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кемпінги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літні будиночки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Комп’ютерні клуби та Інтернет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Збір і сортування вторинної сировини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умови зобов’язання суборендаря та орендаря щодо відображення в договорі суборенди цільового використання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яким об’єкт буде використовуватися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при зміні на будь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яке інше використання суборендар повинен повідомляти про таку зміну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орендар у свою чергу орендодавця та балансоутримувача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Корнієнко Антон Миколайович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044-207-61-56,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outline w:val="0"/>
                <w:color w:val="0000ff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"mailto:korniienko.am@kte.kmda.gov.ua%2520"</w:instrText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 New" w:hAnsi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korniienko.am@kte.kmda.gov.ua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20,73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двадцять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73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12422,82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дванадцять тисяч чотириста двадцять дві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82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відповідно до положень Цивільного та Податкового кодексів України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</w:rPr>
              <w:instrText xml:space="preserve"> HYPERLINK "https://prozorro.sale/info/elektronni-majdanchiki-ets-prozorroprodazhi-cbd2"</w:instrText>
            </w:r>
            <w:r>
              <w:rPr>
                <w:rStyle w:val="Hyperlink.1"/>
                <w:rFonts w:ascii="Times New Roman" w:cs="Times New Roman" w:hAnsi="Times New Roman" w:eastAsia="Times New Roman"/>
                <w:sz w:val="24"/>
                <w:szCs w:val="24"/>
                <w:u w:val="single"/>
                <w:shd w:val="nil" w:color="auto" w:fill="auto"/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https://prozorro.sale/info/elektronni-majdanchiki-ets-prozorroprodazhi-cbd2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Реквізити для сплати реєстраційного  внеску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Одержувач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Hyperlink.1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Hyperlink.1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 xml:space="preserve">Києва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UA52820172035524900300002427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перерахування реєстраційного внеску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Банк одержувача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Hyperlink.1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Державна казначейська служба України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МФО </w:t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820172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згідно з ЄДРПОУ </w:t>
            </w:r>
            <w:r>
              <w:rPr>
                <w:rStyle w:val="Hyperlink.1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19020407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ntiqu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Antiqua" w:cs="Antiqua" w:hAnsi="Antiqua" w:eastAsia="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ourier New" w:cs="Courier New" w:hAnsi="Courier New" w:eastAsia="Courier New"/>
      <w:sz w:val="23"/>
      <w:szCs w:val="23"/>
      <w:shd w:val="nil" w:color="auto" w:fill="auto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u w:val="single"/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