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45" w:type="dxa"/>
        <w:tblInd w:w="-714" w:type="dxa"/>
        <w:tblLayout w:type="fixed"/>
        <w:tblLook w:val="04A0"/>
      </w:tblPr>
      <w:tblGrid>
        <w:gridCol w:w="4933"/>
        <w:gridCol w:w="5812"/>
      </w:tblGrid>
      <w:tr w:rsidR="008B45C9" w:rsidRPr="00E84390" w:rsidTr="00B70A9A">
        <w:trPr>
          <w:trHeight w:val="255"/>
        </w:trPr>
        <w:tc>
          <w:tcPr>
            <w:tcW w:w="10745" w:type="dxa"/>
            <w:gridSpan w:val="2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ОГОЛОШЕННЯ про передачу в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оренду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нерухомого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майна,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якого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орендодавцем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прийнято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ішення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продовження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терміну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дії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аукціоні</w:t>
            </w:r>
            <w:proofErr w:type="spellEnd"/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 (номер)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державної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власності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якого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прийнято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ішення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передачу в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7625</w:t>
            </w:r>
          </w:p>
        </w:tc>
      </w:tr>
      <w:tr w:rsidR="008B45C9" w:rsidRPr="00E84390" w:rsidTr="00B70A9A">
        <w:trPr>
          <w:trHeight w:val="127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12" w:type="dxa"/>
            <w:hideMark/>
          </w:tcPr>
          <w:p w:rsidR="00E84390" w:rsidRDefault="008B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майна –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вбудованого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(№1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БТІ), 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4,0 кв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на 1-му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поверсі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двоповерхової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. А),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: 23500,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Шаргородський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м. Шаргород,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Майдану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колишня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Леніна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), 250 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ФДМУ  по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інницькій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21018, м.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. Гоголя, 10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ержавної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казначейської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Шаргородському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Код за ЄДРПОУ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37337796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23500,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Шаргородський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р-н, м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аргород,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Майдану, 250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Залишкова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балансова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307,00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Ринкова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812" w:type="dxa"/>
            <w:hideMark/>
          </w:tcPr>
          <w:p w:rsidR="008B45C9" w:rsidRPr="00B70A9A" w:rsidRDefault="008B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36204</w:t>
            </w:r>
            <w:r w:rsidR="00B7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</w:tr>
      <w:tr w:rsidR="008B45C9" w:rsidRPr="00E84390" w:rsidTr="00B70A9A">
        <w:trPr>
          <w:trHeight w:val="105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Фотографічне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https://drive.google.com/open?id=1xUd8TdJSjhBVd63diN_GJCcvPqtBoQHw, https://drive.google.com/open?id=1dwrXNm8KanhzRVrh9GePFWLEB-TOTW4m, https://drive.google.com/open?id=1AD3YfmYImFO1EyF3Cyx5wvyYb8GDccR9</w:t>
            </w:r>
          </w:p>
        </w:tc>
      </w:tr>
      <w:tr w:rsidR="008B45C9" w:rsidRPr="00E84390" w:rsidTr="00B70A9A">
        <w:trPr>
          <w:trHeight w:val="31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E8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23500, </w:t>
            </w:r>
            <w:proofErr w:type="spellStart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Шаргород, </w:t>
            </w:r>
            <w:proofErr w:type="spellStart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gramStart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8B45C9"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Майдану, 250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буді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8B45C9" w:rsidRPr="00E84390" w:rsidTr="009A526A">
        <w:trPr>
          <w:trHeight w:val="656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Поверховий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https://drive.google.com/open?id=1XYdMb7jBHd_QOeXqaAr2jbvj_N9O5yMz</w:t>
            </w:r>
          </w:p>
        </w:tc>
      </w:tr>
      <w:tr w:rsidR="00E84390" w:rsidRPr="00E84390" w:rsidTr="00B70A9A">
        <w:trPr>
          <w:trHeight w:val="508"/>
        </w:trPr>
        <w:tc>
          <w:tcPr>
            <w:tcW w:w="10745" w:type="dxa"/>
            <w:gridSpan w:val="2"/>
            <w:hideMark/>
          </w:tcPr>
          <w:p w:rsidR="00E84390" w:rsidRPr="009A526A" w:rsidRDefault="00E84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Технічний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сплату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комунальних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</w:t>
            </w:r>
            <w:r w:rsidR="009A52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  <w:proofErr w:type="spellEnd"/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особові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будівлю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споруду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), до складу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входить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так,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будівлю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споруду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складу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входить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рахункі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орендарем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(плати за землю)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приєднаний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Газифікація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мереж)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Опалення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автономне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Лічильник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тепло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Вентиляція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Кондиціонування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телефонізація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телебачення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Ліфт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Охоронна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ПДВ – </w:t>
            </w:r>
            <w:r w:rsidR="00B7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1 256,33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ільове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будь-яким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: перший тип -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певним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</w:tr>
      <w:tr w:rsidR="008B45C9" w:rsidRPr="00E84390" w:rsidTr="00B70A9A">
        <w:trPr>
          <w:trHeight w:val="76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 п. 29 Порядку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Сил,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Держприкордонслужби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Держспецзв’язку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зборі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B45C9" w:rsidRPr="00E84390" w:rsidTr="00B70A9A">
        <w:trPr>
          <w:trHeight w:val="76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закладами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банкомату</w:t>
            </w:r>
          </w:p>
        </w:tc>
      </w:tr>
      <w:tr w:rsidR="008B45C9" w:rsidRPr="00E84390" w:rsidTr="00B70A9A">
        <w:trPr>
          <w:trHeight w:val="153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будь-яким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3 до Порядку).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затверджується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ішенням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як одна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див.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4-10 п. 54 Порядку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5C9" w:rsidRPr="00E84390" w:rsidTr="00B70A9A">
        <w:trPr>
          <w:trHeight w:val="204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майна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 п.169</w:t>
            </w:r>
          </w:p>
        </w:tc>
        <w:tc>
          <w:tcPr>
            <w:tcW w:w="5812" w:type="dxa"/>
            <w:hideMark/>
          </w:tcPr>
          <w:p w:rsidR="008B45C9" w:rsidRPr="00E84390" w:rsidRDefault="008B45C9" w:rsidP="008B45C9">
            <w:pPr>
              <w:ind w:left="31" w:hanging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кримінально-виконавчої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фіскальних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академій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для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</w:p>
        </w:tc>
      </w:tr>
      <w:tr w:rsidR="008B45C9" w:rsidRPr="00E84390" w:rsidTr="00B70A9A">
        <w:trPr>
          <w:trHeight w:val="76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об'єктом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0974990289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об'єктом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098270815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 адреса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об'єктом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office.sharg@vn.treasury.gov.ua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адреса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об'єктом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vadim.djachuk@privatbank.ua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5C9" w:rsidRPr="00E84390" w:rsidTr="00B70A9A">
        <w:trPr>
          <w:trHeight w:val="102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 w:rsidP="00E8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2021 року. Час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8B45C9" w:rsidRPr="00E84390" w:rsidTr="00B70A9A">
        <w:trPr>
          <w:trHeight w:val="102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 11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2021 року,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проміжку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19-30 до 20-30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дня,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мінімального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812" w:type="dxa"/>
            <w:noWrap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(для чинного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),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812" w:type="dxa"/>
            <w:hideMark/>
          </w:tcPr>
          <w:p w:rsidR="008B45C9" w:rsidRPr="005241C4" w:rsidRDefault="008B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  <w:r w:rsidR="00524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2512,66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472,30</w:t>
            </w:r>
          </w:p>
        </w:tc>
      </w:tr>
      <w:tr w:rsidR="008B45C9" w:rsidRPr="00E84390" w:rsidTr="00B70A9A">
        <w:trPr>
          <w:trHeight w:val="76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веб-сайта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потенційними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орендарями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внескі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812" w:type="dxa"/>
            <w:hideMark/>
          </w:tcPr>
          <w:p w:rsidR="008B45C9" w:rsidRPr="00E84390" w:rsidRDefault="00232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8B45C9" w:rsidRPr="00E8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bookmarkStart w:id="0" w:name="_GoBack"/>
            <w:bookmarkEnd w:id="0"/>
          </w:p>
        </w:tc>
      </w:tr>
      <w:tr w:rsidR="008B45C9" w:rsidRPr="00E84390" w:rsidTr="00B70A9A">
        <w:trPr>
          <w:trHeight w:val="204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4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ФДМ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інницькій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</w:t>
            </w:r>
            <w:r w:rsidRPr="00E84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№ UA648201720355259001002156369 (для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43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: ДКСУ  Код ЄДРПОУ 42964094</w:t>
            </w:r>
            <w:r w:rsidRPr="00E84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платежу: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5C9" w:rsidRPr="00E84390" w:rsidTr="00B70A9A">
        <w:trPr>
          <w:trHeight w:val="102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Єдине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веб-сторінку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алфавітному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веб-сторінки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мають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812" w:type="dxa"/>
            <w:hideMark/>
          </w:tcPr>
          <w:p w:rsidR="008B45C9" w:rsidRPr="00E84390" w:rsidRDefault="00232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8B45C9" w:rsidRPr="00E8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Інша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майбутній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компенсація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чинному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5812" w:type="dxa"/>
            <w:hideMark/>
          </w:tcPr>
          <w:p w:rsidR="008B45C9" w:rsidRPr="009A526A" w:rsidRDefault="008B45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A5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щойно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виявлений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8B45C9" w:rsidRPr="00E84390" w:rsidTr="00B70A9A">
        <w:trPr>
          <w:trHeight w:val="76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розташований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споруда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до складу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входить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земельною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невід'ємних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поліпшень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здійснених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невід'ємних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поліпшень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5C9" w:rsidRPr="00E84390" w:rsidTr="00B70A9A">
        <w:trPr>
          <w:trHeight w:val="255"/>
        </w:trPr>
        <w:tc>
          <w:tcPr>
            <w:tcW w:w="10745" w:type="dxa"/>
            <w:gridSpan w:val="2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</w:t>
            </w:r>
            <w:proofErr w:type="gram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Переліку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першого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типу, в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обсязі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визначеному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пунктом 26 Порядку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посиланням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hideMark/>
          </w:tcPr>
          <w:p w:rsidR="008B45C9" w:rsidRPr="00E84390" w:rsidRDefault="00232F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anchor="gid=718665470" w:history="1">
              <w:r w:rsidR="008B45C9" w:rsidRPr="00E84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7625</w:t>
            </w:r>
          </w:p>
        </w:tc>
      </w:tr>
      <w:tr w:rsidR="008B45C9" w:rsidRPr="00E84390" w:rsidTr="00B70A9A">
        <w:trPr>
          <w:trHeight w:val="255"/>
        </w:trPr>
        <w:tc>
          <w:tcPr>
            <w:tcW w:w="10745" w:type="dxa"/>
            <w:gridSpan w:val="2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чинний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догові</w:t>
            </w:r>
            <w:proofErr w:type="gram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строк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якого</w:t>
            </w:r>
            <w:proofErr w:type="spellEnd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закінчується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АТ КБ "ПРИВАТБАНК"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1-ноя-2010</w:t>
            </w:r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строк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закінчується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, 0 день/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8B45C9" w:rsidRPr="00E84390" w:rsidTr="00B70A9A">
        <w:trPr>
          <w:trHeight w:val="25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26-дек-2020</w:t>
            </w:r>
          </w:p>
        </w:tc>
      </w:tr>
      <w:tr w:rsidR="008B45C9" w:rsidRPr="00E84390" w:rsidTr="00B70A9A">
        <w:trPr>
          <w:trHeight w:val="510"/>
        </w:trPr>
        <w:tc>
          <w:tcPr>
            <w:tcW w:w="4933" w:type="dxa"/>
            <w:noWrap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Чинний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переважне</w:t>
            </w:r>
            <w:proofErr w:type="spellEnd"/>
            <w:r w:rsidRPr="00E8439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право</w:t>
            </w: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реалізується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чинного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8B45C9" w:rsidRPr="00E84390" w:rsidTr="00B70A9A">
        <w:trPr>
          <w:trHeight w:val="2805"/>
        </w:trPr>
        <w:tc>
          <w:tcPr>
            <w:tcW w:w="4933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таким, за результатами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передано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5812" w:type="dxa"/>
            <w:hideMark/>
          </w:tcPr>
          <w:p w:rsidR="008B45C9" w:rsidRPr="00E84390" w:rsidRDefault="008B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Чинний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втрачає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переважне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право та право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компенсацію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здійснених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ним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невід’ємних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поліпшень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таким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орендарем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припиняється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строку договору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передбачений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одинадцятою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18 Закону,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оголошується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затверджених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умов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умов (</w:t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майна.</w:t>
            </w:r>
            <w:r w:rsidRPr="00E84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43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передбаченого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одинадцятою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18 Закону, таким,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відбувся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оголошуються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аукціони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одинадцятою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тринадцятою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13 Закону,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випадку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передбаченого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E84390">
              <w:rPr>
                <w:rFonts w:ascii="Times New Roman" w:hAnsi="Times New Roman" w:cs="Times New Roman"/>
                <w:sz w:val="24"/>
                <w:szCs w:val="24"/>
              </w:rPr>
              <w:t xml:space="preserve"> 6 п. 149 Порядку.</w:t>
            </w:r>
          </w:p>
        </w:tc>
      </w:tr>
    </w:tbl>
    <w:p w:rsidR="008B45C9" w:rsidRPr="00E84390" w:rsidRDefault="008B45C9" w:rsidP="008B45C9">
      <w:pPr>
        <w:rPr>
          <w:rFonts w:ascii="Times New Roman" w:hAnsi="Times New Roman" w:cs="Times New Roman"/>
          <w:sz w:val="24"/>
          <w:szCs w:val="24"/>
        </w:rPr>
      </w:pPr>
    </w:p>
    <w:p w:rsidR="008B45C9" w:rsidRPr="00E84390" w:rsidRDefault="008B45C9" w:rsidP="008B45C9">
      <w:pPr>
        <w:rPr>
          <w:rFonts w:ascii="Times New Roman" w:hAnsi="Times New Roman" w:cs="Times New Roman"/>
          <w:sz w:val="24"/>
          <w:szCs w:val="24"/>
        </w:rPr>
      </w:pPr>
    </w:p>
    <w:p w:rsidR="008B45C9" w:rsidRPr="00E84390" w:rsidRDefault="008B45C9" w:rsidP="008B45C9">
      <w:pPr>
        <w:rPr>
          <w:rFonts w:ascii="Times New Roman" w:hAnsi="Times New Roman" w:cs="Times New Roman"/>
          <w:sz w:val="24"/>
          <w:szCs w:val="24"/>
        </w:rPr>
      </w:pPr>
    </w:p>
    <w:p w:rsidR="008B45C9" w:rsidRPr="00E84390" w:rsidRDefault="008B45C9" w:rsidP="008B45C9">
      <w:pPr>
        <w:rPr>
          <w:rFonts w:ascii="Times New Roman" w:hAnsi="Times New Roman" w:cs="Times New Roman"/>
          <w:sz w:val="24"/>
          <w:szCs w:val="24"/>
        </w:rPr>
      </w:pPr>
    </w:p>
    <w:sectPr w:rsidR="008B45C9" w:rsidRPr="00E84390" w:rsidSect="008B45C9">
      <w:pgSz w:w="11906" w:h="16838"/>
      <w:pgMar w:top="568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5C9"/>
    <w:rsid w:val="00232FD8"/>
    <w:rsid w:val="005241C4"/>
    <w:rsid w:val="006B1124"/>
    <w:rsid w:val="008B45C9"/>
    <w:rsid w:val="009A526A"/>
    <w:rsid w:val="00AB7277"/>
    <w:rsid w:val="00AB78FD"/>
    <w:rsid w:val="00B70A9A"/>
    <w:rsid w:val="00B90434"/>
    <w:rsid w:val="00CD0F6E"/>
    <w:rsid w:val="00E8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5C9"/>
    <w:rPr>
      <w:color w:val="1155CC"/>
      <w:u w:val="single"/>
    </w:rPr>
  </w:style>
  <w:style w:type="table" w:styleId="a4">
    <w:name w:val="Table Grid"/>
    <w:basedOn w:val="a1"/>
    <w:uiPriority w:val="39"/>
    <w:rsid w:val="008B4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5</cp:revision>
  <cp:lastPrinted>2020-12-18T13:54:00Z</cp:lastPrinted>
  <dcterms:created xsi:type="dcterms:W3CDTF">2020-12-18T14:47:00Z</dcterms:created>
  <dcterms:modified xsi:type="dcterms:W3CDTF">2020-12-18T15:31:00Z</dcterms:modified>
</cp:coreProperties>
</file>