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4A51B4" w:rsidRPr="00555923" w:rsidRDefault="004A51B4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51B4" w:rsidRDefault="00A92CFC" w:rsidP="004A5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4A51B4" w:rsidRPr="004A51B4" w:rsidRDefault="004A51B4" w:rsidP="004A5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4A51B4" w:rsidRDefault="00BD4C80" w:rsidP="004A51B4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555923" w:rsidRDefault="00956865" w:rsidP="004A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Навчально-виховний комплекс № 10 м. Хмельницького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15AC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FDE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ЄДРПОУ 2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>3841877,                                     вул. Водопровідна, 9А,</w:t>
            </w:r>
            <w:r w:rsidR="009D0FDE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Хмельницький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9D0FD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FDE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29007</w:t>
            </w:r>
            <w:r w:rsidR="009D0FD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ACC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9D0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15ACC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директора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Грищука Віктора Дмитровича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 підставі Статуту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hyperlink r:id="rId8" w:history="1">
              <w:r w:rsidR="00615ACC" w:rsidRPr="00555923">
                <w:rPr>
                  <w:rStyle w:val="a7"/>
                  <w:rFonts w:ascii="Times New Roman" w:hAnsi="Times New Roman" w:cs="Times New Roman"/>
                  <w:iCs/>
                  <w:sz w:val="24"/>
                  <w:szCs w:val="24"/>
                </w:rPr>
                <w:t>nvk-10@ukr.net</w:t>
              </w:r>
            </w:hyperlink>
            <w:r w:rsidR="00615ACC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нижче: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нежитлове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вбудоване, розташоване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першому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поверсі в т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ьохповерхов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будівлі 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</w:t>
            </w:r>
            <w:r w:rsidR="004A51B4"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4A51B4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вул. </w:t>
            </w:r>
            <w:r w:rsidR="004A51B4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Водопровідна, 9 А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0913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4A51B4"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>95127</w:t>
            </w:r>
            <w:r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>,00 грн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на </w:t>
            </w:r>
            <w:r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>«30» червня 2020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6700D5" w:rsidRDefault="00F92C8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1.3. Цільове призначення майна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айно може бути використане Орендарем з метою надання послуг, які не можуть бути забезпечені безпосередньо 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балансоутримувачем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визначеними у пункті 29 Порядку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КМУ</w:t>
            </w:r>
            <w:r w:rsidR="0067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і які є пов’язаними із забезпеченням або 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обслуговуванням діяльності таких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а саме: </w:t>
            </w:r>
            <w:r w:rsidR="006700D5"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для торгівлі канцтоварами,</w:t>
            </w:r>
            <w:r w:rsidR="006700D5"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надання послуг ксерокопіювання </w:t>
            </w:r>
            <w:r w:rsidR="00933878"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4A51B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орендар не має права передавати майно в суборенду.</w:t>
            </w:r>
          </w:p>
          <w:p w:rsidR="00353A56" w:rsidRPr="004A51B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F9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F92C85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4A51B4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  <w:bookmarkStart w:id="0" w:name="_GoBack"/>
            <w:bookmarkEnd w:id="0"/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B4"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>95127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4A51B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4A51B4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4A51B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4A51B4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4A51B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51B4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4A51B4" w:rsidRDefault="00976F14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4A51B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</w:t>
            </w:r>
            <w:r w:rsidR="004A51B4" w:rsidRPr="004A51B4">
              <w:rPr>
                <w:rFonts w:ascii="Times New Roman" w:hAnsi="Times New Roman" w:cs="Times New Roman"/>
                <w:sz w:val="24"/>
                <w:szCs w:val="24"/>
              </w:rPr>
              <w:t>ірі 3-х місячної орендної плати</w:t>
            </w:r>
            <w:r w:rsidR="00BC18F7"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4A51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 w:rsidRPr="004A5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4A51B4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4A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4A51B4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586423" w:rsidRPr="004A51B4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4A51B4" w:rsidRDefault="004A51B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6.7. </w:t>
            </w:r>
            <w:r w:rsidR="001B7F11" w:rsidRPr="004A51B4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ірі 3-х місячної орендної плати</w:t>
            </w:r>
            <w:r w:rsidR="001B7F11"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4A51B4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B4">
              <w:t xml:space="preserve"> 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відповідних рішень органів місцевого самоврядування  про надання згоди на здійснення цих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5379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Pr="002C3838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4A51B4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</w:t>
                        </w:r>
                        <w:r w:rsidR="004A51B4">
                          <w:rPr>
                            <w:rFonts w:ascii="Times New Roman" w:hAnsi="Times New Roman" w:cs="Times New Roman"/>
                          </w:rPr>
                          <w:t xml:space="preserve">                               </w:t>
                        </w:r>
                      </w:p>
                      <w:p w:rsidR="002C3838" w:rsidRPr="002C3838" w:rsidRDefault="005D30EF" w:rsidP="005D30EF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_</w:t>
                        </w:r>
                        <w:r w:rsidR="002C3838" w:rsidRPr="00BF38DC">
                          <w:rPr>
                            <w:rFonts w:ascii="Times New Roman" w:hAnsi="Times New Roman" w:cs="Times New Roman"/>
                          </w:rPr>
                          <w:t>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5D30EF">
                    <w:rPr>
                      <w:rFonts w:ascii="Times New Roman" w:eastAsia="Times New Roman" w:hAnsi="Times New Roman" w:cs="Times New Roman"/>
                      <w:bCs/>
                      <w:lang w:eastAsia="ar-SA"/>
                    </w:rPr>
                    <w:t>Навчально-виховний комплекс               № 10 м. Хмельницького</w:t>
                  </w: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5D30EF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вул. Водопровідна, 9А, </w:t>
                  </w: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                                </w:t>
                  </w:r>
                  <w:r w:rsidRPr="005D30EF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м. Хмельницький, </w:t>
                  </w: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29007</w:t>
                  </w:r>
                </w:p>
                <w:p w:rsidR="005D30EF" w:rsidRPr="005D30EF" w:rsidRDefault="005D30EF" w:rsidP="005D30EF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D30EF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5D30EF">
                    <w:rPr>
                      <w:rFonts w:ascii="Times New Roman" w:eastAsia="Times New Roman" w:hAnsi="Times New Roman" w:cs="Times New Roman"/>
                      <w:lang w:val="ru-RU" w:eastAsia="ar-SA"/>
                    </w:rPr>
                    <w:t xml:space="preserve"> </w:t>
                  </w:r>
                  <w:r w:rsidRPr="005D30EF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_______________________</w:t>
                  </w:r>
                </w:p>
                <w:p w:rsidR="005D30EF" w:rsidRPr="005D30EF" w:rsidRDefault="005D30EF" w:rsidP="005D30EF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5D30EF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__________________________</w:t>
                  </w: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</w:t>
                  </w:r>
                  <w:r w:rsidRPr="005D30EF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ЄДРПОУ 23841877</w:t>
                  </w: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</w:t>
                  </w:r>
                  <w:r w:rsidRPr="005D30EF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тел. 76-48-90</w:t>
                  </w: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5D30EF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Керівник</w:t>
                  </w: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5D30EF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____________________В. Грищук</w:t>
                  </w:r>
                </w:p>
                <w:p w:rsidR="000E1CAF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E1" w:rsidRDefault="00F402E1" w:rsidP="00A70218">
      <w:pPr>
        <w:spacing w:after="0" w:line="240" w:lineRule="auto"/>
      </w:pPr>
      <w:r>
        <w:separator/>
      </w:r>
    </w:p>
  </w:endnote>
  <w:endnote w:type="continuationSeparator" w:id="0">
    <w:p w:rsidR="00F402E1" w:rsidRDefault="00F402E1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E1" w:rsidRDefault="00F402E1" w:rsidP="00A70218">
      <w:pPr>
        <w:spacing w:after="0" w:line="240" w:lineRule="auto"/>
      </w:pPr>
      <w:r>
        <w:separator/>
      </w:r>
    </w:p>
  </w:footnote>
  <w:footnote w:type="continuationSeparator" w:id="0">
    <w:p w:rsidR="00F402E1" w:rsidRDefault="00F402E1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E7083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A51B4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30EF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00D5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3793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51C18"/>
    <w:rsid w:val="00956865"/>
    <w:rsid w:val="0095726D"/>
    <w:rsid w:val="0096268E"/>
    <w:rsid w:val="00967E15"/>
    <w:rsid w:val="00976F14"/>
    <w:rsid w:val="00980CE3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069"/>
    <w:rsid w:val="00A81B1B"/>
    <w:rsid w:val="00A86DDC"/>
    <w:rsid w:val="00A92CFC"/>
    <w:rsid w:val="00A96DCD"/>
    <w:rsid w:val="00AB5AD2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11FEE"/>
    <w:rsid w:val="00C14428"/>
    <w:rsid w:val="00C2217F"/>
    <w:rsid w:val="00C36DE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02E1"/>
    <w:rsid w:val="00F4187E"/>
    <w:rsid w:val="00F568BC"/>
    <w:rsid w:val="00F60854"/>
    <w:rsid w:val="00F62B15"/>
    <w:rsid w:val="00F64905"/>
    <w:rsid w:val="00F70DD7"/>
    <w:rsid w:val="00F7347B"/>
    <w:rsid w:val="00F7601A"/>
    <w:rsid w:val="00F8551A"/>
    <w:rsid w:val="00F869F2"/>
    <w:rsid w:val="00F92C85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-10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8</cp:revision>
  <cp:lastPrinted>2021-03-02T09:52:00Z</cp:lastPrinted>
  <dcterms:created xsi:type="dcterms:W3CDTF">2021-03-02T07:58:00Z</dcterms:created>
  <dcterms:modified xsi:type="dcterms:W3CDTF">2021-03-02T11:58:00Z</dcterms:modified>
</cp:coreProperties>
</file>