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7" w:rsidRPr="001526C5" w:rsidRDefault="009E51B7" w:rsidP="009E51B7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1526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526C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:rsidR="009E51B7" w:rsidRDefault="009E51B7" w:rsidP="009E51B7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E51B7" w:rsidRDefault="009E51B7" w:rsidP="00BA41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038D2" w:rsidRPr="00337B9B" w:rsidRDefault="009038D2" w:rsidP="00BA41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5E5CC9" w:rsidRDefault="009038D2" w:rsidP="00BA41B6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 – нежитлових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приміщень</w:t>
      </w:r>
      <w:r w:rsidR="009E51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технічного поверху, підвалу, 1-го, 2-го поверхів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41B9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нежитловій будівлі літ. «</w:t>
      </w:r>
      <w:r w:rsidR="00D41B9F" w:rsidRPr="00551C3F">
        <w:rPr>
          <w:rFonts w:ascii="Times New Roman" w:hAnsi="Times New Roman" w:cs="Times New Roman"/>
          <w:b/>
          <w:bCs/>
          <w:sz w:val="28"/>
          <w:szCs w:val="28"/>
          <w:lang w:val="uk-UA"/>
        </w:rPr>
        <w:t>А-</w:t>
      </w:r>
      <w:r w:rsidR="00D41B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2», загальною площею </w:t>
      </w:r>
      <w:r w:rsidR="009E51B7">
        <w:rPr>
          <w:rFonts w:ascii="Times New Roman" w:hAnsi="Times New Roman" w:cs="Times New Roman"/>
          <w:b/>
          <w:bCs/>
          <w:sz w:val="28"/>
          <w:szCs w:val="28"/>
          <w:lang w:val="uk-UA"/>
        </w:rPr>
        <w:t>2 599,4</w:t>
      </w:r>
      <w:r w:rsidR="00D41B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кв. м</w:t>
      </w:r>
      <w:r w:rsidR="005E5C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9038D2" w:rsidRDefault="009038D2" w:rsidP="00BA41B6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адре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сою: м. Харків, Салтівське шосе, 266</w:t>
      </w:r>
    </w:p>
    <w:p w:rsidR="00D30C5F" w:rsidRPr="00E93F91" w:rsidRDefault="00D30C5F" w:rsidP="000168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7938"/>
      </w:tblGrid>
      <w:tr w:rsidR="009038D2" w:rsidRPr="00E60CDD">
        <w:trPr>
          <w:cantSplit/>
        </w:trPr>
        <w:tc>
          <w:tcPr>
            <w:tcW w:w="7160" w:type="dxa"/>
          </w:tcPr>
          <w:p w:rsidR="009038D2" w:rsidRPr="00E93F91" w:rsidRDefault="009038D2" w:rsidP="00DD062D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938" w:type="dxa"/>
          </w:tcPr>
          <w:p w:rsidR="009038D2" w:rsidRPr="00E93F91" w:rsidRDefault="009038D2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168E2" w:rsidRPr="00E60CDD" w:rsidTr="000168E2">
        <w:trPr>
          <w:cantSplit/>
          <w:trHeight w:val="5981"/>
        </w:trPr>
        <w:tc>
          <w:tcPr>
            <w:tcW w:w="7160" w:type="dxa"/>
          </w:tcPr>
          <w:p w:rsidR="000168E2" w:rsidRPr="00E93F91" w:rsidRDefault="000168E2" w:rsidP="000168E2">
            <w:pPr>
              <w:pStyle w:val="a4"/>
              <w:spacing w:after="150" w:line="240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62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</w:t>
            </w:r>
          </w:p>
        </w:tc>
        <w:tc>
          <w:tcPr>
            <w:tcW w:w="7938" w:type="dxa"/>
          </w:tcPr>
          <w:p w:rsidR="000168E2" w:rsidRDefault="000168E2" w:rsidP="000168E2">
            <w:pPr>
              <w:spacing w:after="0" w:line="240" w:lineRule="auto"/>
              <w:ind w:firstLine="6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ежитлові приміще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2</w:t>
            </w: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-го поверху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63-:-74</w:t>
            </w:r>
            <w:r w:rsidRPr="007A1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площею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1070,6</w:t>
            </w:r>
            <w:r w:rsidRPr="007A1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A1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м., технічного поверху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XLII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XLIII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XLIV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XLVI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XLVII</w:t>
            </w:r>
            <w:r w:rsidRPr="00A5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площею 597,1 кв.м., загальною площею 1667,7 кв.м. у літ. «</w:t>
            </w: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2» (</w:t>
            </w:r>
            <w:r w:rsidR="00C02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021CF" w:rsidRPr="00C02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раво власності зареєстровано. Реєстраційний номер об’єкта нерухомого майна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1494661363101);</w:t>
            </w:r>
          </w:p>
          <w:p w:rsidR="000168E2" w:rsidRDefault="000168E2" w:rsidP="000168E2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1</w:t>
            </w: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-го поверху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6-:-10</w:t>
            </w:r>
            <w:r w:rsidRPr="007A1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12, 15, 16, 17, 18, 20, 21, 49-:-54, 57, 58, 62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площею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366,6</w:t>
            </w:r>
            <w:r w:rsidRPr="007A1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A1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в літ. «</w:t>
            </w: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2» </w:t>
            </w:r>
            <w:r w:rsidR="00C02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</w:t>
            </w:r>
            <w:r w:rsidR="00C021CF" w:rsidRPr="00C02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 власності зареєстровано. Реєстраційний номер об’єкта нерухомого майна</w:t>
            </w:r>
            <w:r w:rsidRPr="00143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1816036963101);</w:t>
            </w:r>
          </w:p>
          <w:p w:rsidR="000168E2" w:rsidRPr="00913014" w:rsidRDefault="000168E2" w:rsidP="000168E2">
            <w:pPr>
              <w:numPr>
                <w:ilvl w:val="0"/>
                <w:numId w:val="4"/>
              </w:numPr>
              <w:tabs>
                <w:tab w:val="num" w:pos="0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підвалу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</w:t>
            </w:r>
            <w:r w:rsidRPr="00A579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A579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 w:rsidRPr="00A579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A579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A579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XXIV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XXV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XXVI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XXVII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XXVIII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XXIX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XXX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площею 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364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26E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7A1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A1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в нежитловій будівлі літ. «</w:t>
            </w:r>
            <w:r w:rsidRPr="0055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2» </w:t>
            </w:r>
            <w:r w:rsidR="00D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</w:t>
            </w:r>
            <w:r w:rsidR="00D70600" w:rsidRPr="00C02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раво власності зареєстровано. Реєстраційний номер об’єкта нерухомого майна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1815961563101);</w:t>
            </w:r>
          </w:p>
        </w:tc>
      </w:tr>
      <w:tr w:rsidR="009038D2" w:rsidRPr="00FC62C1" w:rsidTr="000168E2">
        <w:trPr>
          <w:cantSplit/>
          <w:trHeight w:val="10014"/>
        </w:trPr>
        <w:tc>
          <w:tcPr>
            <w:tcW w:w="7160" w:type="dxa"/>
          </w:tcPr>
          <w:p w:rsidR="009038D2" w:rsidRPr="00FC62C1" w:rsidRDefault="009038D2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</w:tcPr>
          <w:p w:rsidR="009E51B7" w:rsidRPr="00913014" w:rsidRDefault="009E51B7" w:rsidP="009E51B7">
            <w:pPr>
              <w:numPr>
                <w:ilvl w:val="0"/>
                <w:numId w:val="4"/>
              </w:numPr>
              <w:tabs>
                <w:tab w:val="num" w:pos="0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bookmarkStart w:id="1" w:name="_Hlk13581906"/>
            <w:bookmarkStart w:id="2" w:name="_Hlk7014717"/>
            <w:bookmarkStart w:id="3" w:name="_Hlk6414262"/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нежитлові приміщення спільного користування 1-го поверху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№ 11, 13, 14, 19,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XXXIII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площею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88,6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кв.м в літ. «А-2» </w:t>
            </w:r>
            <w:r w:rsidR="00522C32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(право власності зареєстровано. Реєстраційний номер об’єкта нерухомого майна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1815971863101</w:t>
            </w:r>
            <w:r w:rsidR="005C569C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9E51B7" w:rsidRPr="00913014" w:rsidRDefault="009E51B7" w:rsidP="009E51B7">
            <w:pPr>
              <w:numPr>
                <w:ilvl w:val="0"/>
                <w:numId w:val="4"/>
              </w:numPr>
              <w:tabs>
                <w:tab w:val="num" w:pos="0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нежитлові приміщення спільного користування підвалу </w:t>
            </w:r>
            <w:r w:rsidR="00707719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№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XIV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LIII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площею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11,3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кв.м в літ. «А-2» </w:t>
            </w:r>
            <w:r w:rsidR="004311B0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(право власності зареєстровано. Реєстраційний номер об’єкта нерухомого майна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1816113563101</w:t>
            </w:r>
            <w:r w:rsidR="00707719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9E51B7" w:rsidRPr="00913014" w:rsidRDefault="009E51B7" w:rsidP="009E51B7">
            <w:pPr>
              <w:numPr>
                <w:ilvl w:val="0"/>
                <w:numId w:val="4"/>
              </w:numPr>
              <w:tabs>
                <w:tab w:val="num" w:pos="0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нежитлові приміщення спільного користування 1-го поверху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№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LV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LVI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площею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11,3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кв.м в літ. «А-2» </w:t>
            </w:r>
            <w:r w:rsidR="004311B0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(право власності зареєстровано. Реєстраційний номер об’єкта нерухомого майна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1816238463101</w:t>
            </w:r>
            <w:r w:rsidR="00707719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9E51B7" w:rsidRPr="00913014" w:rsidRDefault="009E51B7" w:rsidP="009E51B7">
            <w:pPr>
              <w:numPr>
                <w:ilvl w:val="0"/>
                <w:numId w:val="4"/>
              </w:numPr>
              <w:tabs>
                <w:tab w:val="num" w:pos="0"/>
              </w:tabs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нежитлові приміщення спільного користування 2-го поверху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№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XXXVII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,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XXXVIII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площею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34,5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кв.м, технічного поверху №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XXXIX</w:t>
            </w:r>
            <w:r w:rsidRPr="009130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XLVIII</w:t>
            </w:r>
            <w:r w:rsidRPr="009130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площею 40,3 кв.м., загальною площею 74,8 кв.м в літ. «А-2» </w:t>
            </w:r>
            <w:r w:rsidR="004311B0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(право власності зареєстровано. Реєстраційний номер об’єкта нерухомого майна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1815987863101</w:t>
            </w:r>
            <w:r w:rsidR="00707719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9E51B7" w:rsidRPr="00913014" w:rsidRDefault="009E51B7" w:rsidP="00707719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нежитлові приміщення спільного користування 1-го поверху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№ 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XXXIV</w:t>
            </w:r>
            <w:r w:rsidRPr="00913014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,</w:t>
            </w:r>
            <w:r w:rsidRPr="009130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площею 14,3 кв.м. в літ. «А-2» </w:t>
            </w:r>
            <w:r w:rsidR="004311B0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(право власності зареєстровано. Реєстраційний номер об’єкта нерухомого майна </w:t>
            </w:r>
            <w:r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1815941563101</w:t>
            </w:r>
            <w:r w:rsidR="00707719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  <w:r w:rsidR="004311B0" w:rsidRPr="00913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8904AD" w:rsidRDefault="00D41B9F" w:rsidP="00707719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загальною площею </w:t>
            </w:r>
            <w:r w:rsidR="009E51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2 599</w:t>
            </w:r>
            <w:r w:rsidRPr="00007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9E51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007A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кв. м</w:t>
            </w:r>
            <w:r w:rsidR="009038D2" w:rsidRPr="00007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розташовані у Немишлянському районі міста за адресою: м. Харків, Салтівське шосе, 266</w:t>
            </w:r>
            <w:bookmarkEnd w:id="1"/>
            <w:r w:rsidR="009038D2" w:rsidRPr="00007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038D2" w:rsidRPr="005873A4" w:rsidRDefault="00D41B9F" w:rsidP="008904AD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побудови </w:t>
            </w:r>
            <w:r w:rsidR="00B6163B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B61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1981. </w:t>
            </w:r>
            <w:r w:rsidR="00707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 до приміщень через тильну частину будівлі</w:t>
            </w:r>
            <w:r w:rsidR="0089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038D2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об’єкта відповідає технічному плану. Фундамент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038D2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038D2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бетон,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038D2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038D2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038D2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керамзитобетонні,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89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</w:t>
            </w:r>
            <w:r w:rsidR="008904AD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рекриття</w:t>
            </w:r>
            <w:r w:rsidR="0089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38D2"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–залізобетонні,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підлога –бетон</w:t>
            </w:r>
            <w:r w:rsidR="0089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9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покрівля – сумісна руберойд</w:t>
            </w:r>
            <w:r w:rsidR="00D30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038D2" w:rsidRPr="00FC62C1" w:rsidRDefault="009038D2" w:rsidP="008904AD">
            <w:pPr>
              <w:spacing w:after="0" w:line="240" w:lineRule="auto"/>
              <w:ind w:firstLine="4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Електропостачання, водопостачання</w:t>
            </w:r>
            <w:r w:rsidR="00D30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водовідведення </w:t>
            </w:r>
            <w:r w:rsidR="0089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87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палення є</w:t>
            </w:r>
            <w:r w:rsidRPr="005873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але </w:t>
            </w:r>
            <w:r w:rsidR="008904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знаходяться </w:t>
            </w:r>
            <w:r w:rsidRPr="005873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неробочому стані</w:t>
            </w:r>
            <w:r w:rsidR="008904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5873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2"/>
            <w:bookmarkEnd w:id="3"/>
          </w:p>
        </w:tc>
      </w:tr>
      <w:tr w:rsidR="009038D2" w:rsidRPr="009F14D1">
        <w:trPr>
          <w:cantSplit/>
        </w:trPr>
        <w:tc>
          <w:tcPr>
            <w:tcW w:w="7160" w:type="dxa"/>
          </w:tcPr>
          <w:p w:rsidR="009038D2" w:rsidRPr="00FC62C1" w:rsidRDefault="009038D2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62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938" w:type="dxa"/>
          </w:tcPr>
          <w:p w:rsidR="009038D2" w:rsidRPr="006462A6" w:rsidRDefault="00CC44D7" w:rsidP="00CC44D7">
            <w:pPr>
              <w:spacing w:after="0" w:line="240" w:lineRule="auto"/>
              <w:ind w:firstLine="4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C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Зазначені нежитлові приміщення є вільними, в оренду не передані.</w:t>
            </w:r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FC62C1" w:rsidRDefault="009038D2" w:rsidP="00FC62C1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C62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938" w:type="dxa"/>
          </w:tcPr>
          <w:p w:rsidR="009038D2" w:rsidRPr="00F12889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ів, майдан Конституції, буд.16.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E45197" w:rsidRDefault="009038D2" w:rsidP="00FC62C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1.4. план будівлі </w:t>
            </w:r>
          </w:p>
        </w:tc>
        <w:tc>
          <w:tcPr>
            <w:tcW w:w="7938" w:type="dxa"/>
          </w:tcPr>
          <w:p w:rsidR="009038D2" w:rsidRPr="00BA45BE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  <w:r w:rsidRPr="00BA4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копі</w:t>
            </w:r>
            <w:r w:rsidR="00D30C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BA4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BA4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BA4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BA4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17.12.2018</w:t>
            </w:r>
            <w:r w:rsidR="00CC44D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06.10.2017</w:t>
            </w:r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7938" w:type="dxa"/>
          </w:tcPr>
          <w:p w:rsidR="009038D2" w:rsidRPr="00BA45BE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938" w:type="dxa"/>
          </w:tcPr>
          <w:p w:rsidR="009038D2" w:rsidRPr="00FC62C1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168E2" w:rsidRPr="00FC62C1">
        <w:trPr>
          <w:cantSplit/>
        </w:trPr>
        <w:tc>
          <w:tcPr>
            <w:tcW w:w="7160" w:type="dxa"/>
          </w:tcPr>
          <w:p w:rsidR="000168E2" w:rsidRPr="00E45197" w:rsidRDefault="000168E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 спосіб, дата та час проведення аукціону</w:t>
            </w:r>
          </w:p>
        </w:tc>
        <w:tc>
          <w:tcPr>
            <w:tcW w:w="7938" w:type="dxa"/>
          </w:tcPr>
          <w:p w:rsidR="000168E2" w:rsidRPr="00E45197" w:rsidRDefault="000168E2" w:rsidP="000168E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умов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B50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24.12.</w:t>
            </w:r>
            <w:r w:rsidRPr="00D26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 (</w:t>
            </w:r>
            <w:r w:rsidR="00FB50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двадцять четвертого грудня</w:t>
            </w:r>
            <w:r w:rsidRPr="00D26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дев’ятнадцятого року)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  <w:p w:rsidR="000168E2" w:rsidRPr="00FC62C1" w:rsidRDefault="000168E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0157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938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9038D2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  <w:p w:rsidR="002E07D9" w:rsidRPr="00E45197" w:rsidRDefault="002E07D9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938" w:type="dxa"/>
          </w:tcPr>
          <w:p w:rsidR="009038D2" w:rsidRPr="00FC62C1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038D2" w:rsidRPr="00FC62C1">
        <w:trPr>
          <w:cantSplit/>
        </w:trPr>
        <w:tc>
          <w:tcPr>
            <w:tcW w:w="7160" w:type="dxa"/>
            <w:vMerge w:val="restart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 об’єкта для кожного із способів приватизації</w:t>
            </w:r>
          </w:p>
        </w:tc>
        <w:tc>
          <w:tcPr>
            <w:tcW w:w="7938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</w:t>
            </w:r>
            <w:r w:rsidR="00C57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умов (балансова вартість)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без ПДВ</w:t>
            </w:r>
          </w:p>
        </w:tc>
      </w:tr>
      <w:tr w:rsidR="009038D2" w:rsidRPr="00FC62C1">
        <w:trPr>
          <w:cantSplit/>
        </w:trPr>
        <w:tc>
          <w:tcPr>
            <w:tcW w:w="7160" w:type="dxa"/>
            <w:vMerge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із зниженням стартової ціни 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B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 без ПДВ</w:t>
            </w:r>
          </w:p>
        </w:tc>
      </w:tr>
      <w:tr w:rsidR="009038D2" w:rsidRPr="00FC62C1">
        <w:trPr>
          <w:cantSplit/>
        </w:trPr>
        <w:tc>
          <w:tcPr>
            <w:tcW w:w="7160" w:type="dxa"/>
            <w:vMerge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EB7F7B"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</w:t>
            </w:r>
            <w:r w:rsidR="00EB7F7B"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B7F7B"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B7F7B"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 без ПДВ</w:t>
            </w:r>
          </w:p>
        </w:tc>
      </w:tr>
      <w:tr w:rsidR="009038D2" w:rsidRPr="00FC62C1">
        <w:trPr>
          <w:cantSplit/>
        </w:trPr>
        <w:tc>
          <w:tcPr>
            <w:tcW w:w="7160" w:type="dxa"/>
            <w:vMerge w:val="restart"/>
          </w:tcPr>
          <w:p w:rsidR="009038D2" w:rsidRPr="00E45197" w:rsidRDefault="009038D2" w:rsidP="00FC62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3.2. розмір гарантійного внеску електронного аукціону для кожного із способів продажу</w:t>
            </w:r>
          </w:p>
          <w:p w:rsidR="009038D2" w:rsidRPr="00E45197" w:rsidRDefault="009038D2" w:rsidP="00FC62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</w:t>
            </w:r>
            <w:r w:rsidR="00C57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умов 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819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B7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9038D2" w:rsidRPr="00FC62C1">
        <w:trPr>
          <w:cantSplit/>
        </w:trPr>
        <w:tc>
          <w:tcPr>
            <w:tcW w:w="7160" w:type="dxa"/>
            <w:vMerge/>
          </w:tcPr>
          <w:p w:rsidR="009038D2" w:rsidRPr="00FC62C1" w:rsidRDefault="009038D2" w:rsidP="00FC62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7938" w:type="dxa"/>
          </w:tcPr>
          <w:p w:rsidR="009038D2" w:rsidRPr="00B2328A" w:rsidRDefault="009038D2" w:rsidP="00FC62C1">
            <w:pPr>
              <w:pStyle w:val="a8"/>
              <w:ind w:firstLine="31"/>
              <w:rPr>
                <w:rFonts w:ascii="Times New Roman" w:hAnsi="Times New Roman" w:cs="Times New Roman"/>
                <w:color w:val="000000"/>
              </w:rPr>
            </w:pPr>
            <w:r w:rsidRPr="00B2328A">
              <w:rPr>
                <w:rFonts w:ascii="Times New Roman" w:hAnsi="Times New Roman" w:cs="Times New Roman"/>
              </w:rPr>
              <w:t xml:space="preserve">Аукціон із зниженням стартової ціни – </w:t>
            </w:r>
            <w:r w:rsidR="00EB7F7B">
              <w:rPr>
                <w:rFonts w:ascii="Times New Roman" w:hAnsi="Times New Roman" w:cs="Times New Roman"/>
                <w:lang w:val="ru-RU"/>
              </w:rPr>
              <w:t>4</w:t>
            </w:r>
            <w:r w:rsidR="00FB1057">
              <w:rPr>
                <w:rFonts w:ascii="Times New Roman" w:hAnsi="Times New Roman" w:cs="Times New Roman"/>
                <w:lang w:val="ru-RU"/>
              </w:rPr>
              <w:t> </w:t>
            </w:r>
            <w:r w:rsidR="00EB7F7B">
              <w:rPr>
                <w:rFonts w:ascii="Times New Roman" w:hAnsi="Times New Roman" w:cs="Times New Roman"/>
                <w:lang w:val="ru-RU"/>
              </w:rPr>
              <w:t>409</w:t>
            </w:r>
            <w:r w:rsidRPr="00B2328A">
              <w:rPr>
                <w:rFonts w:ascii="Times New Roman" w:hAnsi="Times New Roman" w:cs="Times New Roman"/>
                <w:lang w:val="ru-RU"/>
              </w:rPr>
              <w:t>,</w:t>
            </w:r>
            <w:r w:rsidR="00EB7F7B">
              <w:rPr>
                <w:rFonts w:ascii="Times New Roman" w:hAnsi="Times New Roman" w:cs="Times New Roman"/>
                <w:lang w:val="ru-RU"/>
              </w:rPr>
              <w:t>84</w:t>
            </w:r>
            <w:r w:rsidRPr="00B2328A">
              <w:rPr>
                <w:rFonts w:ascii="Times New Roman" w:hAnsi="Times New Roman" w:cs="Times New Roman"/>
              </w:rPr>
              <w:t xml:space="preserve"> </w:t>
            </w:r>
            <w:r w:rsidRPr="00B2328A">
              <w:rPr>
                <w:rFonts w:ascii="Times New Roman" w:hAnsi="Times New Roman" w:cs="Times New Roman"/>
                <w:color w:val="000000"/>
              </w:rPr>
              <w:t>грн.</w:t>
            </w:r>
          </w:p>
        </w:tc>
      </w:tr>
      <w:tr w:rsidR="009038D2" w:rsidRPr="00FC62C1">
        <w:trPr>
          <w:cantSplit/>
        </w:trPr>
        <w:tc>
          <w:tcPr>
            <w:tcW w:w="7160" w:type="dxa"/>
            <w:vMerge/>
          </w:tcPr>
          <w:p w:rsidR="009038D2" w:rsidRPr="00FC62C1" w:rsidRDefault="009038D2" w:rsidP="00FC62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7938" w:type="dxa"/>
          </w:tcPr>
          <w:p w:rsidR="009038D2" w:rsidRPr="00B2328A" w:rsidRDefault="009038D2" w:rsidP="00FC62C1">
            <w:pPr>
              <w:pStyle w:val="a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2328A">
              <w:rPr>
                <w:rFonts w:ascii="Times New Roman" w:hAnsi="Times New Roman" w:cs="Times New Roman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EB7F7B">
              <w:rPr>
                <w:rFonts w:ascii="Times New Roman" w:hAnsi="Times New Roman" w:cs="Times New Roman"/>
                <w:lang w:val="ru-RU"/>
              </w:rPr>
              <w:t>4 409</w:t>
            </w:r>
            <w:r w:rsidR="00EB7F7B" w:rsidRPr="00B2328A">
              <w:rPr>
                <w:rFonts w:ascii="Times New Roman" w:hAnsi="Times New Roman" w:cs="Times New Roman"/>
                <w:lang w:val="ru-RU"/>
              </w:rPr>
              <w:t>,</w:t>
            </w:r>
            <w:r w:rsidR="00EB7F7B">
              <w:rPr>
                <w:rFonts w:ascii="Times New Roman" w:hAnsi="Times New Roman" w:cs="Times New Roman"/>
                <w:lang w:val="ru-RU"/>
              </w:rPr>
              <w:t>84</w:t>
            </w:r>
            <w:r w:rsidR="00EB7F7B" w:rsidRPr="00B2328A">
              <w:rPr>
                <w:rFonts w:ascii="Times New Roman" w:hAnsi="Times New Roman" w:cs="Times New Roman"/>
              </w:rPr>
              <w:t xml:space="preserve"> </w:t>
            </w:r>
            <w:r w:rsidRPr="00B2328A">
              <w:rPr>
                <w:rFonts w:ascii="Times New Roman" w:hAnsi="Times New Roman" w:cs="Times New Roman"/>
                <w:color w:val="000000"/>
              </w:rPr>
              <w:t>грн.</w:t>
            </w:r>
          </w:p>
        </w:tc>
      </w:tr>
      <w:tr w:rsidR="009038D2" w:rsidRPr="00FC62C1">
        <w:trPr>
          <w:cantSplit/>
        </w:trPr>
        <w:tc>
          <w:tcPr>
            <w:tcW w:w="7160" w:type="dxa"/>
          </w:tcPr>
          <w:p w:rsidR="009038D2" w:rsidRPr="00E45197" w:rsidRDefault="009038D2" w:rsidP="00FB105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02"/>
            <w:bookmarkEnd w:id="4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7938" w:type="dxa"/>
          </w:tcPr>
          <w:p w:rsidR="009038D2" w:rsidRPr="00E45197" w:rsidRDefault="009038D2" w:rsidP="00FC62C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834,60 грн.</w:t>
            </w:r>
          </w:p>
        </w:tc>
      </w:tr>
      <w:tr w:rsidR="00CC21F4" w:rsidRPr="00FC62C1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3.4. умови продажу об’єкта </w:t>
            </w:r>
          </w:p>
        </w:tc>
        <w:tc>
          <w:tcPr>
            <w:tcW w:w="7938" w:type="dxa"/>
          </w:tcPr>
          <w:p w:rsidR="00CC21F4" w:rsidRPr="00751D3A" w:rsidRDefault="00CC21F4" w:rsidP="00CC21F4">
            <w:pPr>
              <w:spacing w:after="150" w:line="240" w:lineRule="auto"/>
              <w:jc w:val="both"/>
            </w:pPr>
            <w:r w:rsidRPr="00CC21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CC21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Pr="00751D3A">
              <w:t xml:space="preserve"> </w:t>
            </w:r>
          </w:p>
        </w:tc>
      </w:tr>
      <w:tr w:rsidR="00CC21F4" w:rsidRPr="00FC62C1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938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168E2" w:rsidRPr="00FC62C1">
        <w:trPr>
          <w:cantSplit/>
        </w:trPr>
        <w:tc>
          <w:tcPr>
            <w:tcW w:w="7160" w:type="dxa"/>
          </w:tcPr>
          <w:p w:rsidR="000168E2" w:rsidRPr="00E45197" w:rsidRDefault="000168E2" w:rsidP="00CC21F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938" w:type="dxa"/>
          </w:tcPr>
          <w:p w:rsidR="000168E2" w:rsidRPr="00A35F17" w:rsidRDefault="000168E2" w:rsidP="000168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168E2" w:rsidRPr="00A35F17" w:rsidRDefault="000168E2" w:rsidP="000168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0168E2" w:rsidRPr="00A35F17" w:rsidRDefault="000168E2" w:rsidP="000168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0168E2" w:rsidRPr="00A35F17" w:rsidRDefault="000168E2" w:rsidP="000168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0168E2" w:rsidRPr="00A35F17" w:rsidRDefault="000168E2" w:rsidP="000168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0168E2" w:rsidRPr="00A35F17" w:rsidRDefault="000168E2" w:rsidP="000168E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0168E2" w:rsidRPr="00E45197" w:rsidRDefault="000168E2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C21F4" w:rsidRPr="00007A1E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38" w:type="dxa"/>
          </w:tcPr>
          <w:p w:rsidR="00CC21F4" w:rsidRPr="00401A5C" w:rsidRDefault="00CC21F4" w:rsidP="00CC21F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CC21F4" w:rsidRPr="00401A5C" w:rsidRDefault="00CC21F4" w:rsidP="00CC21F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CC21F4" w:rsidRPr="00401A5C" w:rsidRDefault="00CC21F4" w:rsidP="00CC21F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</w:t>
            </w:r>
            <w:r w:rsidR="00D30C5F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                 </w:t>
            </w: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м. Київ, МФО 820172. Код ЄДРПОУ 14095412.</w:t>
            </w:r>
          </w:p>
          <w:p w:rsidR="00CC21F4" w:rsidRPr="00401A5C" w:rsidRDefault="00CC21F4" w:rsidP="00CC21F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CC21F4" w:rsidRPr="00913014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7938" w:type="dxa"/>
          </w:tcPr>
          <w:p w:rsidR="00CC21F4" w:rsidRPr="00E45197" w:rsidRDefault="007014FF" w:rsidP="00CC21F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9" w:history="1">
              <w:r w:rsidR="00CC21F4" w:rsidRPr="00E4519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C21F4" w:rsidRPr="00FC62C1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938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Style w:val="a7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10" w:history="1">
              <w:r w:rsidRPr="00E4519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C21F4" w:rsidRPr="00E45197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об’єкта</w:t>
            </w:r>
          </w:p>
        </w:tc>
        <w:tc>
          <w:tcPr>
            <w:tcW w:w="7938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10-00 до 17-00.</w:t>
            </w:r>
          </w:p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C21F4" w:rsidRPr="00E45197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938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C21F4" w:rsidRPr="00913014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938" w:type="dxa"/>
          </w:tcPr>
          <w:p w:rsidR="00CC21F4" w:rsidRPr="00E45197" w:rsidRDefault="000F2783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5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5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6" w:name="_GoBack"/>
            <w:bookmarkEnd w:id="6"/>
          </w:p>
        </w:tc>
      </w:tr>
      <w:tr w:rsidR="00CC21F4" w:rsidRPr="00FC7497">
        <w:trPr>
          <w:cantSplit/>
        </w:trPr>
        <w:tc>
          <w:tcPr>
            <w:tcW w:w="7160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938" w:type="dxa"/>
          </w:tcPr>
          <w:p w:rsidR="00CC21F4" w:rsidRPr="00E45197" w:rsidRDefault="003906BB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06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UA-AR-P-2019-10-21-000003-1</w:t>
            </w:r>
          </w:p>
        </w:tc>
      </w:tr>
      <w:tr w:rsidR="00CC21F4" w:rsidRPr="00FC62C1">
        <w:trPr>
          <w:cantSplit/>
        </w:trPr>
        <w:tc>
          <w:tcPr>
            <w:tcW w:w="7160" w:type="dxa"/>
            <w:vMerge w:val="restart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5.3. крок аукціону для кожного із способів продажу</w:t>
            </w:r>
          </w:p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Мінімальний крок аукціону становить 1 відсоток стартової ціни лота</w:t>
            </w:r>
          </w:p>
        </w:tc>
        <w:tc>
          <w:tcPr>
            <w:tcW w:w="7938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C57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умов 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</w:t>
            </w:r>
            <w:bookmarkStart w:id="7" w:name="_Hlk5872289"/>
            <w:r w:rsidR="00645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458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  <w:r w:rsidRPr="00E45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7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CC21F4" w:rsidRPr="00FC62C1">
        <w:trPr>
          <w:cantSplit/>
        </w:trPr>
        <w:tc>
          <w:tcPr>
            <w:tcW w:w="7160" w:type="dxa"/>
            <w:vMerge/>
          </w:tcPr>
          <w:p w:rsidR="00CC21F4" w:rsidRPr="00FC62C1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7938" w:type="dxa"/>
          </w:tcPr>
          <w:p w:rsidR="00CC21F4" w:rsidRPr="00B2328A" w:rsidRDefault="00CC21F4" w:rsidP="00CC21F4">
            <w:pPr>
              <w:pStyle w:val="a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2328A">
              <w:rPr>
                <w:rFonts w:ascii="Times New Roman" w:hAnsi="Times New Roman" w:cs="Times New Roman"/>
              </w:rPr>
              <w:t>Аукціон із зниженням стартової ціни –</w:t>
            </w:r>
            <w:bookmarkStart w:id="8" w:name="_Hlk6825512"/>
            <w:r w:rsidR="00645892">
              <w:rPr>
                <w:rFonts w:ascii="Times New Roman" w:hAnsi="Times New Roman" w:cs="Times New Roman"/>
                <w:lang w:val="ru-RU"/>
              </w:rPr>
              <w:t>440</w:t>
            </w:r>
            <w:r w:rsidRPr="00B2328A">
              <w:rPr>
                <w:rFonts w:ascii="Times New Roman" w:hAnsi="Times New Roman" w:cs="Times New Roman"/>
                <w:lang w:val="ru-RU"/>
              </w:rPr>
              <w:t>,9</w:t>
            </w:r>
            <w:r w:rsidR="00645892">
              <w:rPr>
                <w:rFonts w:ascii="Times New Roman" w:hAnsi="Times New Roman" w:cs="Times New Roman"/>
                <w:lang w:val="ru-RU"/>
              </w:rPr>
              <w:t>8</w:t>
            </w:r>
            <w:r w:rsidRPr="00B2328A">
              <w:rPr>
                <w:rFonts w:ascii="Times New Roman" w:hAnsi="Times New Roman" w:cs="Times New Roman"/>
              </w:rPr>
              <w:t xml:space="preserve"> </w:t>
            </w:r>
            <w:bookmarkEnd w:id="8"/>
            <w:r w:rsidRPr="00B2328A">
              <w:rPr>
                <w:rFonts w:ascii="Times New Roman" w:hAnsi="Times New Roman" w:cs="Times New Roman"/>
              </w:rPr>
              <w:t>грн.</w:t>
            </w:r>
          </w:p>
        </w:tc>
      </w:tr>
      <w:tr w:rsidR="00CC21F4" w:rsidRPr="00FC62C1">
        <w:trPr>
          <w:cantSplit/>
        </w:trPr>
        <w:tc>
          <w:tcPr>
            <w:tcW w:w="7160" w:type="dxa"/>
            <w:vMerge/>
          </w:tcPr>
          <w:p w:rsidR="00CC21F4" w:rsidRPr="00FC62C1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7938" w:type="dxa"/>
          </w:tcPr>
          <w:p w:rsidR="00CC21F4" w:rsidRPr="00E45197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645892" w:rsidRPr="00645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440,98 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CC21F4" w:rsidRPr="00FC62C1">
        <w:trPr>
          <w:cantSplit/>
        </w:trPr>
        <w:tc>
          <w:tcPr>
            <w:tcW w:w="7160" w:type="dxa"/>
          </w:tcPr>
          <w:p w:rsidR="00CC21F4" w:rsidRPr="00BC4161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416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</w:p>
          <w:p w:rsidR="00CC21F4" w:rsidRPr="00BC4161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41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9" w:name="n225"/>
            <w:bookmarkEnd w:id="9"/>
            <w:r w:rsidRPr="00BC41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</w:tc>
        <w:tc>
          <w:tcPr>
            <w:tcW w:w="7938" w:type="dxa"/>
          </w:tcPr>
          <w:p w:rsidR="00CC21F4" w:rsidRPr="00BC4161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CC21F4" w:rsidRPr="00913014">
        <w:trPr>
          <w:cantSplit/>
        </w:trPr>
        <w:tc>
          <w:tcPr>
            <w:tcW w:w="7160" w:type="dxa"/>
          </w:tcPr>
          <w:p w:rsidR="00CC21F4" w:rsidRPr="00BC4161" w:rsidRDefault="00CC21F4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416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938" w:type="dxa"/>
          </w:tcPr>
          <w:p w:rsidR="00CC21F4" w:rsidRPr="00BC4161" w:rsidRDefault="007014FF" w:rsidP="00CC21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CC21F4" w:rsidRPr="00BC416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C21F4" w:rsidRPr="00E93F91">
        <w:trPr>
          <w:cantSplit/>
        </w:trPr>
        <w:tc>
          <w:tcPr>
            <w:tcW w:w="7160" w:type="dxa"/>
          </w:tcPr>
          <w:p w:rsidR="00CC21F4" w:rsidRPr="003274B1" w:rsidRDefault="00CC21F4" w:rsidP="00CC21F4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</w:t>
            </w:r>
            <w:r w:rsidR="00645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7938" w:type="dxa"/>
          </w:tcPr>
          <w:p w:rsidR="00CC21F4" w:rsidRPr="00E130E8" w:rsidRDefault="00645892" w:rsidP="0064589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CC21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ється</w:t>
            </w:r>
          </w:p>
        </w:tc>
      </w:tr>
    </w:tbl>
    <w:p w:rsidR="009038D2" w:rsidRPr="00E93F91" w:rsidRDefault="009038D2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9038D2" w:rsidRPr="00E93F91" w:rsidSect="00FB1057">
      <w:headerReference w:type="default" r:id="rId12"/>
      <w:pgSz w:w="16838" w:h="11906" w:orient="landscape"/>
      <w:pgMar w:top="709" w:right="820" w:bottom="53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14" w:rsidRDefault="00913014" w:rsidP="00767B65">
      <w:pPr>
        <w:spacing w:after="0" w:line="240" w:lineRule="auto"/>
      </w:pPr>
      <w:r>
        <w:separator/>
      </w:r>
    </w:p>
  </w:endnote>
  <w:endnote w:type="continuationSeparator" w:id="0">
    <w:p w:rsidR="00913014" w:rsidRDefault="00913014" w:rsidP="0076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14" w:rsidRDefault="00913014" w:rsidP="00767B65">
      <w:pPr>
        <w:spacing w:after="0" w:line="240" w:lineRule="auto"/>
      </w:pPr>
      <w:r>
        <w:separator/>
      </w:r>
    </w:p>
  </w:footnote>
  <w:footnote w:type="continuationSeparator" w:id="0">
    <w:p w:rsidR="00913014" w:rsidRDefault="00913014" w:rsidP="0076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545170"/>
      <w:docPartObj>
        <w:docPartGallery w:val="Page Numbers (Top of Page)"/>
        <w:docPartUnique/>
      </w:docPartObj>
    </w:sdtPr>
    <w:sdtContent>
      <w:p w:rsidR="00913014" w:rsidRDefault="00913014">
        <w:pPr>
          <w:pStyle w:val="ab"/>
          <w:jc w:val="right"/>
        </w:pPr>
        <w:fldSimple w:instr="PAGE   \* MERGEFORMAT">
          <w:r w:rsidR="00F03370">
            <w:rPr>
              <w:noProof/>
            </w:rPr>
            <w:t>2</w:t>
          </w:r>
        </w:fldSimple>
      </w:p>
    </w:sdtContent>
  </w:sdt>
  <w:p w:rsidR="00913014" w:rsidRDefault="009130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3864"/>
    <w:multiLevelType w:val="hybridMultilevel"/>
    <w:tmpl w:val="70C4A780"/>
    <w:lvl w:ilvl="0" w:tplc="C6DC9D0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217BDA"/>
    <w:multiLevelType w:val="hybridMultilevel"/>
    <w:tmpl w:val="91561536"/>
    <w:lvl w:ilvl="0" w:tplc="152A7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7A1E"/>
    <w:rsid w:val="0001307E"/>
    <w:rsid w:val="000157C2"/>
    <w:rsid w:val="000168E2"/>
    <w:rsid w:val="00050130"/>
    <w:rsid w:val="00054220"/>
    <w:rsid w:val="00071CEB"/>
    <w:rsid w:val="000829DE"/>
    <w:rsid w:val="00090398"/>
    <w:rsid w:val="000B203A"/>
    <w:rsid w:val="000B2440"/>
    <w:rsid w:val="000B525E"/>
    <w:rsid w:val="000C1AF1"/>
    <w:rsid w:val="000D744A"/>
    <w:rsid w:val="000E1077"/>
    <w:rsid w:val="000F1A50"/>
    <w:rsid w:val="000F20AE"/>
    <w:rsid w:val="000F2783"/>
    <w:rsid w:val="000F720E"/>
    <w:rsid w:val="00111195"/>
    <w:rsid w:val="00152335"/>
    <w:rsid w:val="001526C5"/>
    <w:rsid w:val="00175B6B"/>
    <w:rsid w:val="00182120"/>
    <w:rsid w:val="001924C9"/>
    <w:rsid w:val="001C4493"/>
    <w:rsid w:val="001C54B8"/>
    <w:rsid w:val="001D3B7B"/>
    <w:rsid w:val="001D5D47"/>
    <w:rsid w:val="001F5713"/>
    <w:rsid w:val="002203DA"/>
    <w:rsid w:val="002228F8"/>
    <w:rsid w:val="00226F05"/>
    <w:rsid w:val="002320FF"/>
    <w:rsid w:val="002362C9"/>
    <w:rsid w:val="0023699E"/>
    <w:rsid w:val="002419F5"/>
    <w:rsid w:val="00242FEA"/>
    <w:rsid w:val="00261F0F"/>
    <w:rsid w:val="00270AEE"/>
    <w:rsid w:val="0027782B"/>
    <w:rsid w:val="00277B06"/>
    <w:rsid w:val="00281AE6"/>
    <w:rsid w:val="002877D9"/>
    <w:rsid w:val="002B4DA2"/>
    <w:rsid w:val="002C64D7"/>
    <w:rsid w:val="002E01BE"/>
    <w:rsid w:val="002E07D9"/>
    <w:rsid w:val="002E1E60"/>
    <w:rsid w:val="002F4F2E"/>
    <w:rsid w:val="003274B1"/>
    <w:rsid w:val="00337B9B"/>
    <w:rsid w:val="003411F0"/>
    <w:rsid w:val="003450E5"/>
    <w:rsid w:val="0034728B"/>
    <w:rsid w:val="003539C2"/>
    <w:rsid w:val="00361989"/>
    <w:rsid w:val="00381D55"/>
    <w:rsid w:val="003906BB"/>
    <w:rsid w:val="003918DC"/>
    <w:rsid w:val="003C14F5"/>
    <w:rsid w:val="003D3E33"/>
    <w:rsid w:val="003F5D82"/>
    <w:rsid w:val="0040453B"/>
    <w:rsid w:val="00407A3B"/>
    <w:rsid w:val="004142FF"/>
    <w:rsid w:val="004150D2"/>
    <w:rsid w:val="0041659D"/>
    <w:rsid w:val="00423BBB"/>
    <w:rsid w:val="004311B0"/>
    <w:rsid w:val="00445450"/>
    <w:rsid w:val="0044686C"/>
    <w:rsid w:val="004526BC"/>
    <w:rsid w:val="00463D90"/>
    <w:rsid w:val="00476FEB"/>
    <w:rsid w:val="00495623"/>
    <w:rsid w:val="004967F5"/>
    <w:rsid w:val="004A0BC7"/>
    <w:rsid w:val="004B34A9"/>
    <w:rsid w:val="004B4072"/>
    <w:rsid w:val="004C330C"/>
    <w:rsid w:val="004E3F9B"/>
    <w:rsid w:val="004E6FD7"/>
    <w:rsid w:val="005016B1"/>
    <w:rsid w:val="005057D9"/>
    <w:rsid w:val="005226E8"/>
    <w:rsid w:val="00522C32"/>
    <w:rsid w:val="005264A0"/>
    <w:rsid w:val="0053758E"/>
    <w:rsid w:val="0056732C"/>
    <w:rsid w:val="005873A4"/>
    <w:rsid w:val="00590DC2"/>
    <w:rsid w:val="005B7227"/>
    <w:rsid w:val="005C569C"/>
    <w:rsid w:val="005D40BF"/>
    <w:rsid w:val="005E4261"/>
    <w:rsid w:val="005E5CC9"/>
    <w:rsid w:val="005F46F1"/>
    <w:rsid w:val="00627FF1"/>
    <w:rsid w:val="00632571"/>
    <w:rsid w:val="006404CA"/>
    <w:rsid w:val="00645892"/>
    <w:rsid w:val="006462A6"/>
    <w:rsid w:val="00690394"/>
    <w:rsid w:val="006973F8"/>
    <w:rsid w:val="006B4B2D"/>
    <w:rsid w:val="006B5FCD"/>
    <w:rsid w:val="006D074F"/>
    <w:rsid w:val="006E2BB1"/>
    <w:rsid w:val="006F617D"/>
    <w:rsid w:val="007014FF"/>
    <w:rsid w:val="00707719"/>
    <w:rsid w:val="00714664"/>
    <w:rsid w:val="007215CC"/>
    <w:rsid w:val="00756BA7"/>
    <w:rsid w:val="00767B65"/>
    <w:rsid w:val="00783169"/>
    <w:rsid w:val="0078596B"/>
    <w:rsid w:val="007872F2"/>
    <w:rsid w:val="0079049D"/>
    <w:rsid w:val="007B6A69"/>
    <w:rsid w:val="007D5E3D"/>
    <w:rsid w:val="00815476"/>
    <w:rsid w:val="00815D9D"/>
    <w:rsid w:val="00860FF5"/>
    <w:rsid w:val="008667DC"/>
    <w:rsid w:val="0087562E"/>
    <w:rsid w:val="00886E22"/>
    <w:rsid w:val="008904AD"/>
    <w:rsid w:val="008A4078"/>
    <w:rsid w:val="008D11BE"/>
    <w:rsid w:val="009038D2"/>
    <w:rsid w:val="009071ED"/>
    <w:rsid w:val="00913014"/>
    <w:rsid w:val="009346EA"/>
    <w:rsid w:val="0093659C"/>
    <w:rsid w:val="00974053"/>
    <w:rsid w:val="009917FE"/>
    <w:rsid w:val="00992837"/>
    <w:rsid w:val="009E51B7"/>
    <w:rsid w:val="009E5637"/>
    <w:rsid w:val="009E617A"/>
    <w:rsid w:val="009E7491"/>
    <w:rsid w:val="009F14D1"/>
    <w:rsid w:val="00A00A68"/>
    <w:rsid w:val="00A022F9"/>
    <w:rsid w:val="00A14712"/>
    <w:rsid w:val="00A32F6F"/>
    <w:rsid w:val="00A34653"/>
    <w:rsid w:val="00A34D69"/>
    <w:rsid w:val="00A355AB"/>
    <w:rsid w:val="00A804DC"/>
    <w:rsid w:val="00A84917"/>
    <w:rsid w:val="00AC36A3"/>
    <w:rsid w:val="00AE1DA2"/>
    <w:rsid w:val="00AE7E8A"/>
    <w:rsid w:val="00AF351D"/>
    <w:rsid w:val="00B01865"/>
    <w:rsid w:val="00B03C5A"/>
    <w:rsid w:val="00B21E7C"/>
    <w:rsid w:val="00B2328A"/>
    <w:rsid w:val="00B6163B"/>
    <w:rsid w:val="00B819FA"/>
    <w:rsid w:val="00B85CEB"/>
    <w:rsid w:val="00B90861"/>
    <w:rsid w:val="00B910F1"/>
    <w:rsid w:val="00B91A1C"/>
    <w:rsid w:val="00BA0433"/>
    <w:rsid w:val="00BA1959"/>
    <w:rsid w:val="00BA41B6"/>
    <w:rsid w:val="00BA45BE"/>
    <w:rsid w:val="00BB6B82"/>
    <w:rsid w:val="00BC4161"/>
    <w:rsid w:val="00BC613E"/>
    <w:rsid w:val="00BE26BB"/>
    <w:rsid w:val="00BE6EA4"/>
    <w:rsid w:val="00C021CF"/>
    <w:rsid w:val="00C03D5A"/>
    <w:rsid w:val="00C142C8"/>
    <w:rsid w:val="00C24292"/>
    <w:rsid w:val="00C33C22"/>
    <w:rsid w:val="00C35194"/>
    <w:rsid w:val="00C44592"/>
    <w:rsid w:val="00C47C68"/>
    <w:rsid w:val="00C57C64"/>
    <w:rsid w:val="00C57FC8"/>
    <w:rsid w:val="00C718FC"/>
    <w:rsid w:val="00C8305A"/>
    <w:rsid w:val="00C8496A"/>
    <w:rsid w:val="00C872ED"/>
    <w:rsid w:val="00CA2AA7"/>
    <w:rsid w:val="00CA69F7"/>
    <w:rsid w:val="00CC21F4"/>
    <w:rsid w:val="00CC44D7"/>
    <w:rsid w:val="00D02D4E"/>
    <w:rsid w:val="00D034CB"/>
    <w:rsid w:val="00D0425A"/>
    <w:rsid w:val="00D241C5"/>
    <w:rsid w:val="00D2636D"/>
    <w:rsid w:val="00D30C5F"/>
    <w:rsid w:val="00D41B9F"/>
    <w:rsid w:val="00D70600"/>
    <w:rsid w:val="00D94010"/>
    <w:rsid w:val="00DD062D"/>
    <w:rsid w:val="00E130E8"/>
    <w:rsid w:val="00E45197"/>
    <w:rsid w:val="00E60CDD"/>
    <w:rsid w:val="00E93F91"/>
    <w:rsid w:val="00EA7F0F"/>
    <w:rsid w:val="00EB7F7B"/>
    <w:rsid w:val="00ED5CBB"/>
    <w:rsid w:val="00F03370"/>
    <w:rsid w:val="00F12889"/>
    <w:rsid w:val="00F1289D"/>
    <w:rsid w:val="00F13820"/>
    <w:rsid w:val="00F35671"/>
    <w:rsid w:val="00F82A23"/>
    <w:rsid w:val="00F83270"/>
    <w:rsid w:val="00F8609D"/>
    <w:rsid w:val="00FA282D"/>
    <w:rsid w:val="00FB1057"/>
    <w:rsid w:val="00FB37E7"/>
    <w:rsid w:val="00FB502A"/>
    <w:rsid w:val="00FC1CA6"/>
    <w:rsid w:val="00FC62C1"/>
    <w:rsid w:val="00FC7497"/>
    <w:rsid w:val="00FD646E"/>
    <w:rsid w:val="00FE5F7B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locked/>
    <w:rsid w:val="00BA41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6B5FC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E7E8A"/>
    <w:pPr>
      <w:spacing w:after="0" w:line="240" w:lineRule="auto"/>
      <w:ind w:firstLine="1134"/>
      <w:jc w:val="both"/>
    </w:pPr>
    <w:rPr>
      <w:rFonts w:eastAsia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AE7E8A"/>
    <w:rPr>
      <w:rFonts w:eastAsia="Times New Roman"/>
      <w:sz w:val="28"/>
      <w:szCs w:val="28"/>
      <w:lang w:val="uk-UA" w:eastAsia="ru-RU"/>
    </w:rPr>
  </w:style>
  <w:style w:type="character" w:customStyle="1" w:styleId="aa">
    <w:name w:val="Основной текст_"/>
    <w:link w:val="3"/>
    <w:uiPriority w:val="99"/>
    <w:locked/>
    <w:rsid w:val="0041659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1659D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767B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67B6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767B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67B6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BA41B6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CFB8-9671-4132-A7EE-9DFEDE6A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1424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GreenHouse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Ромашка</dc:creator>
  <cp:keywords/>
  <dc:description/>
  <cp:lastModifiedBy>Flowers</cp:lastModifiedBy>
  <cp:revision>34</cp:revision>
  <cp:lastPrinted>2019-07-12T13:37:00Z</cp:lastPrinted>
  <dcterms:created xsi:type="dcterms:W3CDTF">2019-10-28T07:33:00Z</dcterms:created>
  <dcterms:modified xsi:type="dcterms:W3CDTF">2019-11-14T14:57:00Z</dcterms:modified>
</cp:coreProperties>
</file>