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7" w:rsidRPr="00062CC7" w:rsidRDefault="00F67E37" w:rsidP="00F006F1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ПРОТОКОЛ</w:t>
      </w:r>
    </w:p>
    <w:p w:rsidR="00326C6C" w:rsidRPr="00062CC7" w:rsidRDefault="00326C6C" w:rsidP="001A3E36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Комісії з оцінки, реалізації або утилізації майна в головному офісі Державного підприємства «Український державний центр радіочастот» </w:t>
      </w:r>
    </w:p>
    <w:p w:rsidR="00F67E37" w:rsidRPr="008E4079" w:rsidRDefault="00E6181C" w:rsidP="0041777D">
      <w:pPr>
        <w:tabs>
          <w:tab w:val="left" w:pos="9781"/>
        </w:tabs>
        <w:spacing w:before="600" w:after="120" w:line="240" w:lineRule="auto"/>
        <w:ind w:right="-319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</w:pPr>
      <w:r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«</w:t>
      </w:r>
      <w:r w:rsidR="007764A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29</w:t>
      </w:r>
      <w:r w:rsidR="00D4514F"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</w:t>
      </w:r>
      <w:r w:rsidR="00236299"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07</w:t>
      </w:r>
      <w:r w:rsidR="00F107FF"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.20</w:t>
      </w:r>
      <w:r w:rsidR="00AF4191"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21</w:t>
      </w:r>
      <w:r w:rsidR="00F67E37"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»                                              м. Київ                                            № </w:t>
      </w:r>
      <w:r w:rsidR="008E4079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</w:t>
      </w:r>
      <w:r w:rsidR="008E4079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8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628"/>
        <w:gridCol w:w="4374"/>
        <w:gridCol w:w="405"/>
        <w:gridCol w:w="3602"/>
        <w:gridCol w:w="811"/>
      </w:tblGrid>
      <w:tr w:rsidR="00F67E37" w:rsidRPr="00062CC7" w:rsidTr="0016333D">
        <w:trPr>
          <w:trHeight w:val="346"/>
          <w:jc w:val="center"/>
        </w:trPr>
        <w:tc>
          <w:tcPr>
            <w:tcW w:w="5002" w:type="dxa"/>
            <w:gridSpan w:val="2"/>
          </w:tcPr>
          <w:p w:rsidR="00E51A35" w:rsidRPr="00062CC7" w:rsidRDefault="00E51A35" w:rsidP="00175DD2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67E37" w:rsidRPr="00062CC7" w:rsidRDefault="00F67E37" w:rsidP="00C06564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Голова </w:t>
            </w:r>
            <w:r w:rsidR="00E6181C"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</w:p>
        </w:tc>
        <w:tc>
          <w:tcPr>
            <w:tcW w:w="4818" w:type="dxa"/>
            <w:gridSpan w:val="3"/>
          </w:tcPr>
          <w:p w:rsidR="00F67E37" w:rsidRPr="00062CC7" w:rsidRDefault="00F67E37" w:rsidP="00E51A35">
            <w:pPr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  <w:p w:rsidR="00F67E37" w:rsidRPr="00062CC7" w:rsidRDefault="0016333D" w:rsidP="00E6181C">
            <w:pPr>
              <w:spacing w:after="0" w:line="240" w:lineRule="auto"/>
              <w:ind w:left="1"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Співак Геннадій Григорович</w:t>
            </w:r>
            <w:r w:rsidR="00F67E37"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67E37" w:rsidRPr="00062CC7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062CC7" w:rsidRDefault="00F67E37" w:rsidP="0016333D">
            <w:pPr>
              <w:spacing w:after="0" w:line="240" w:lineRule="auto"/>
              <w:ind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Члени </w:t>
            </w:r>
            <w:r w:rsidR="0016333D"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: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062CC7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F67E37" w:rsidRPr="00062CC7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062CC7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4920D9" w:rsidRPr="00062CC7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Кошель</w:t>
            </w:r>
            <w:proofErr w:type="spellEnd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Віктор Михайлович</w:t>
            </w:r>
          </w:p>
          <w:p w:rsidR="004920D9" w:rsidRPr="00062CC7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Безорчук</w:t>
            </w:r>
            <w:proofErr w:type="spellEnd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Андрій Леон</w:t>
            </w:r>
            <w:r w:rsidR="00A55CA8"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тійович</w:t>
            </w:r>
          </w:p>
          <w:p w:rsidR="004920D9" w:rsidRPr="00062CC7" w:rsidRDefault="004920D9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Кравцов Сергій Іванович</w:t>
            </w:r>
          </w:p>
          <w:p w:rsidR="00F67E37" w:rsidRPr="00062CC7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Мамонтов</w:t>
            </w:r>
            <w:proofErr w:type="spellEnd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Костянтин Миколайович</w:t>
            </w:r>
          </w:p>
          <w:p w:rsidR="00F67E37" w:rsidRPr="00062CC7" w:rsidRDefault="0016333D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Несмашний</w:t>
            </w:r>
            <w:proofErr w:type="spellEnd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Володимир Анатолійович</w:t>
            </w:r>
          </w:p>
        </w:tc>
      </w:tr>
      <w:tr w:rsidR="00F67E37" w:rsidRPr="00062CC7" w:rsidTr="0016333D">
        <w:trPr>
          <w:trHeight w:val="300"/>
          <w:jc w:val="center"/>
        </w:trPr>
        <w:tc>
          <w:tcPr>
            <w:tcW w:w="5002" w:type="dxa"/>
            <w:gridSpan w:val="2"/>
            <w:vAlign w:val="bottom"/>
          </w:tcPr>
          <w:p w:rsidR="00F67E37" w:rsidRPr="00062CC7" w:rsidRDefault="00F67E37" w:rsidP="00F67E37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818" w:type="dxa"/>
            <w:gridSpan w:val="3"/>
            <w:vAlign w:val="bottom"/>
          </w:tcPr>
          <w:p w:rsidR="00F67E37" w:rsidRPr="00062CC7" w:rsidRDefault="00326C6C" w:rsidP="00414744">
            <w:pPr>
              <w:spacing w:after="0" w:line="240" w:lineRule="auto"/>
              <w:ind w:left="1" w:right="-319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Якименко Оксана Ігорівна</w:t>
            </w:r>
            <w:r w:rsidR="007E1C05"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F67E37" w:rsidRPr="00062CC7" w:rsidTr="0016333D">
        <w:trPr>
          <w:trHeight w:val="301"/>
          <w:jc w:val="center"/>
        </w:trPr>
        <w:tc>
          <w:tcPr>
            <w:tcW w:w="5002" w:type="dxa"/>
            <w:gridSpan w:val="2"/>
            <w:vAlign w:val="bottom"/>
          </w:tcPr>
          <w:p w:rsidR="00F67E37" w:rsidRPr="00062CC7" w:rsidRDefault="00F67E37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Секретар </w:t>
            </w:r>
            <w:r w:rsidR="00E6181C"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комісії</w:t>
            </w: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818" w:type="dxa"/>
            <w:gridSpan w:val="3"/>
            <w:vAlign w:val="bottom"/>
          </w:tcPr>
          <w:p w:rsidR="00F67E37" w:rsidRPr="00062CC7" w:rsidRDefault="0016333D" w:rsidP="0016333D">
            <w:pPr>
              <w:spacing w:after="0" w:line="240" w:lineRule="auto"/>
              <w:ind w:right="-319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Заєць Андрій Миколайович</w:t>
            </w:r>
          </w:p>
        </w:tc>
      </w:tr>
      <w:tr w:rsidR="00F67E37" w:rsidRPr="00062CC7" w:rsidTr="0016333D">
        <w:tblPrEx>
          <w:jc w:val="left"/>
        </w:tblPrEx>
        <w:trPr>
          <w:gridBefore w:val="1"/>
          <w:gridAfter w:val="1"/>
          <w:wBefore w:w="628" w:type="dxa"/>
          <w:wAfter w:w="811" w:type="dxa"/>
          <w:trHeight w:val="612"/>
        </w:trPr>
        <w:tc>
          <w:tcPr>
            <w:tcW w:w="4779" w:type="dxa"/>
            <w:gridSpan w:val="2"/>
          </w:tcPr>
          <w:p w:rsidR="00F67E37" w:rsidRPr="00062CC7" w:rsidRDefault="00F67E37" w:rsidP="00F67E3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02" w:type="dxa"/>
          </w:tcPr>
          <w:p w:rsidR="00F67E37" w:rsidRPr="00062CC7" w:rsidRDefault="00F67E37" w:rsidP="00F67E37">
            <w:pPr>
              <w:spacing w:after="0"/>
              <w:ind w:right="-208"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26C6C" w:rsidRPr="00062CC7" w:rsidRDefault="00F67E37" w:rsidP="00200D1E">
      <w:pPr>
        <w:tabs>
          <w:tab w:val="left" w:pos="9781"/>
        </w:tabs>
        <w:spacing w:after="0" w:line="240" w:lineRule="auto"/>
        <w:ind w:right="-319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ПОРЯДОК ДЕННИЙ:</w:t>
      </w:r>
    </w:p>
    <w:p w:rsidR="005D325E" w:rsidRPr="005D325E" w:rsidRDefault="00A14097" w:rsidP="005D325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1) </w:t>
      </w:r>
      <w:r w:rsidR="00633F76"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Щодо </w:t>
      </w:r>
      <w:r w:rsidR="008108DB"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>результатів електронного аукціону з реалізації «</w:t>
      </w:r>
      <w:r w:rsidR="00857DF5"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>Вторинна сировина – списані антени та ДБЖ»</w:t>
      </w:r>
      <w:r w:rsidR="008108DB"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>, аукціон №</w:t>
      </w:r>
      <w:r w:rsidR="005D325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D325E" w:rsidRPr="005D325E">
        <w:rPr>
          <w:rFonts w:ascii="Times New Roman" w:hAnsi="Times New Roman" w:cs="Times New Roman"/>
          <w:color w:val="000000"/>
          <w:sz w:val="26"/>
          <w:szCs w:val="26"/>
          <w:lang w:val="uk-UA"/>
        </w:rPr>
        <w:t>UA-PS-2021-07-06-000051-3</w:t>
      </w:r>
      <w:r w:rsidR="005D325E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AD4C77" w:rsidRPr="00062CC7" w:rsidRDefault="004E5200" w:rsidP="005D325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. </w:t>
      </w:r>
    </w:p>
    <w:p w:rsidR="005A465B" w:rsidRPr="00062CC7" w:rsidRDefault="005A465B" w:rsidP="008108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A14097" w:rsidRPr="00062CC7" w:rsidRDefault="00A14097" w:rsidP="00200D1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b/>
          <w:sz w:val="26"/>
          <w:szCs w:val="26"/>
          <w:lang w:val="uk-UA"/>
        </w:rPr>
        <w:t>1. СЛУХАЛИ:</w:t>
      </w:r>
    </w:p>
    <w:p w:rsidR="005D325E" w:rsidRDefault="00D15B7C" w:rsidP="00857D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секретаря комісії Зайця А.М., </w:t>
      </w:r>
      <w:r w:rsidR="00B75A51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8108DB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результатів електронного аукціону з реалізації </w:t>
      </w:r>
      <w:r w:rsidR="00857DF5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«Вторинна сировина – списані антени та ДБЖ», аукціон № </w:t>
      </w:r>
      <w:r w:rsidR="005D325E" w:rsidRPr="005D325E">
        <w:rPr>
          <w:rFonts w:ascii="Times New Roman" w:hAnsi="Times New Roman" w:cs="Times New Roman"/>
          <w:color w:val="000000"/>
          <w:sz w:val="26"/>
          <w:szCs w:val="26"/>
          <w:lang w:val="uk-UA"/>
        </w:rPr>
        <w:t>UA-PS-2021-07-06-000051-3</w:t>
      </w:r>
      <w:r w:rsidR="005D325E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8108DB" w:rsidRPr="00062CC7" w:rsidRDefault="005D325E" w:rsidP="005D3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Відповідно до протоколу електронного аукціону від 26.07.2021</w:t>
      </w:r>
      <w:r w:rsidR="008108DB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єдиною пропозицією була</w:t>
      </w:r>
      <w:r w:rsidR="008108DB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Панаетова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Андрія Володимирович</w:t>
      </w:r>
      <w:r w:rsidR="00386B07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C6B4E">
        <w:rPr>
          <w:rFonts w:ascii="Times New Roman" w:hAnsi="Times New Roman" w:cs="Times New Roman"/>
          <w:sz w:val="26"/>
          <w:szCs w:val="26"/>
          <w:lang w:val="uk-UA"/>
        </w:rPr>
        <w:t>ІПН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D325E">
        <w:rPr>
          <w:rFonts w:ascii="Times New Roman" w:hAnsi="Times New Roman" w:cs="Times New Roman"/>
          <w:sz w:val="26"/>
          <w:szCs w:val="26"/>
          <w:lang w:val="uk-UA"/>
        </w:rPr>
        <w:t xml:space="preserve">2218314674 </w:t>
      </w:r>
      <w:r w:rsidR="00D15335" w:rsidRPr="00062CC7">
        <w:rPr>
          <w:rFonts w:ascii="Times New Roman" w:hAnsi="Times New Roman" w:cs="Times New Roman"/>
          <w:sz w:val="26"/>
          <w:szCs w:val="26"/>
          <w:lang w:val="uk-UA"/>
        </w:rPr>
        <w:t>(далі - учасник)</w:t>
      </w:r>
      <w:r w:rsidR="008108DB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, із ціною пропозиції </w:t>
      </w:r>
      <w:r w:rsidR="00FC6B4E">
        <w:rPr>
          <w:rFonts w:ascii="Times New Roman" w:hAnsi="Times New Roman" w:cs="Times New Roman"/>
          <w:sz w:val="26"/>
          <w:szCs w:val="26"/>
          <w:lang w:val="uk-UA"/>
        </w:rPr>
        <w:t>130</w:t>
      </w:r>
      <w:r w:rsidR="00442560" w:rsidRPr="00062CC7">
        <w:rPr>
          <w:rFonts w:ascii="Times New Roman" w:hAnsi="Times New Roman" w:cs="Times New Roman"/>
          <w:sz w:val="26"/>
          <w:szCs w:val="26"/>
          <w:lang w:val="uk-UA"/>
        </w:rPr>
        <w:t>,00 грн. (і</w:t>
      </w:r>
      <w:r w:rsidR="008108DB" w:rsidRPr="00062CC7">
        <w:rPr>
          <w:rFonts w:ascii="Times New Roman" w:hAnsi="Times New Roman" w:cs="Times New Roman"/>
          <w:sz w:val="26"/>
          <w:szCs w:val="26"/>
          <w:lang w:val="uk-UA"/>
        </w:rPr>
        <w:t>з ПДВ).</w:t>
      </w:r>
    </w:p>
    <w:p w:rsidR="00D15335" w:rsidRPr="00062CC7" w:rsidRDefault="00D15335" w:rsidP="00DE2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sz w:val="26"/>
          <w:szCs w:val="26"/>
          <w:lang w:val="uk-UA"/>
        </w:rPr>
        <w:t>При перевірці документів, що були додані учасником до цінової пропозиції встановлено наступне.</w:t>
      </w:r>
    </w:p>
    <w:p w:rsidR="00D15335" w:rsidRPr="00062CC7" w:rsidRDefault="00D15335" w:rsidP="00D1533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062CC7">
        <w:rPr>
          <w:rFonts w:ascii="Times New Roman" w:hAnsi="Times New Roman" w:cs="Times New Roman"/>
          <w:sz w:val="26"/>
          <w:szCs w:val="26"/>
          <w:lang w:val="uk-UA"/>
        </w:rPr>
        <w:t>Згідно із пунктом 1.2. «</w:t>
      </w:r>
      <w:r w:rsidRPr="00062C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Умови проведення аукціону</w:t>
      </w: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» Відомостей про майно, його склад та характеристики (далі - Відомості) встановлено: </w:t>
      </w:r>
      <w:r w:rsidRPr="00062CC7">
        <w:rPr>
          <w:rFonts w:ascii="Times New Roman" w:hAnsi="Times New Roman" w:cs="Times New Roman"/>
          <w:i/>
          <w:sz w:val="26"/>
          <w:szCs w:val="26"/>
          <w:lang w:val="uk-UA"/>
        </w:rPr>
        <w:t>«</w:t>
      </w:r>
      <w:r w:rsidRPr="00062CC7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Процедура здійснюється у відповідності до Регламенту роботи електронної торгової системи </w:t>
      </w:r>
      <w:proofErr w:type="spellStart"/>
      <w:r w:rsidRPr="00062CC7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Prozorro.Продажі</w:t>
      </w:r>
      <w:proofErr w:type="spellEnd"/>
      <w:r w:rsidRPr="00062CC7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ЦБД2 щодо проведення електронних аукціонів з продажу/надання в оренду майна (активів)/передачі права (Регламент ЕТС), затвердженого наказом ДП «</w:t>
      </w:r>
      <w:proofErr w:type="spellStart"/>
      <w:r w:rsidRPr="00062CC7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Прозорро.Продажі</w:t>
      </w:r>
      <w:proofErr w:type="spellEnd"/>
      <w:r w:rsidRPr="00062CC7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» від 09.07.2018 № 8 (із змінами) (далі - Регламент).</w:t>
      </w:r>
    </w:p>
    <w:p w:rsidR="00D15335" w:rsidRPr="00062CC7" w:rsidRDefault="00D15335" w:rsidP="00D1533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062CC7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У разі порушення умов Регламенту, вимог 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884), та цих Відомостей,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торгів.».</w:t>
      </w:r>
    </w:p>
    <w:p w:rsidR="001B726B" w:rsidRPr="00062CC7" w:rsidRDefault="00D15335" w:rsidP="001B726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CC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Пунктом 1.3.1. Відомостей встановлено: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Заява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про участь в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електронному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аукціоні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шляхом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заповнення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електронної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форми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окремими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полями, де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інформація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цінову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пропозицію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 xml:space="preserve">, про </w:t>
      </w:r>
      <w:proofErr w:type="spellStart"/>
      <w:r w:rsidR="001B726B" w:rsidRPr="00062CC7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="001B726B" w:rsidRPr="00062CC7">
        <w:rPr>
          <w:rFonts w:ascii="Times New Roman" w:hAnsi="Times New Roman" w:cs="Times New Roman"/>
          <w:i/>
          <w:sz w:val="24"/>
          <w:szCs w:val="24"/>
        </w:rPr>
        <w:t>.</w:t>
      </w:r>
    </w:p>
    <w:p w:rsidR="001B726B" w:rsidRPr="00062CC7" w:rsidRDefault="00AB5596" w:rsidP="001B726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Зокрема д</w:t>
      </w:r>
      <w:r w:rsidRPr="00AB5596">
        <w:rPr>
          <w:rFonts w:ascii="Times New Roman" w:hAnsi="Times New Roman" w:cs="Times New Roman"/>
          <w:b/>
          <w:i/>
          <w:sz w:val="24"/>
          <w:szCs w:val="24"/>
        </w:rPr>
        <w:t xml:space="preserve">о заяви про участь в </w:t>
      </w:r>
      <w:proofErr w:type="spellStart"/>
      <w:r w:rsidRPr="00AB5596">
        <w:rPr>
          <w:rFonts w:ascii="Times New Roman" w:hAnsi="Times New Roman" w:cs="Times New Roman"/>
          <w:b/>
          <w:i/>
          <w:sz w:val="24"/>
          <w:szCs w:val="24"/>
        </w:rPr>
        <w:t>електронному</w:t>
      </w:r>
      <w:proofErr w:type="spellEnd"/>
      <w:r w:rsidRPr="00AB5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b/>
          <w:i/>
          <w:sz w:val="24"/>
          <w:szCs w:val="24"/>
        </w:rPr>
        <w:t>аукціоні</w:t>
      </w:r>
      <w:proofErr w:type="spellEnd"/>
      <w:r w:rsidRPr="00AB5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</w:rPr>
        <w:t>одаються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завантажуються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 в ЕТС</w:t>
      </w:r>
      <w:r w:rsidR="001B726B" w:rsidRPr="00062C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5596" w:rsidRPr="00AB5596" w:rsidRDefault="00AB5596" w:rsidP="00AB559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596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потенційних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покупців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юридичних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5596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proofErr w:type="gramEnd"/>
      <w:r w:rsidRPr="00AB5596">
        <w:rPr>
          <w:rFonts w:ascii="Times New Roman" w:hAnsi="Times New Roman" w:cs="Times New Roman"/>
          <w:i/>
          <w:sz w:val="24"/>
          <w:szCs w:val="24"/>
        </w:rPr>
        <w:t>:</w:t>
      </w:r>
    </w:p>
    <w:p w:rsidR="00AB5596" w:rsidRPr="00AB5596" w:rsidRDefault="00AB5596" w:rsidP="00AB559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59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витяг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Єдиного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державного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реєстру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юридичних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фізичних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proofErr w:type="gramStart"/>
      <w:r w:rsidRPr="00AB559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B5596">
        <w:rPr>
          <w:rFonts w:ascii="Times New Roman" w:hAnsi="Times New Roman" w:cs="Times New Roman"/>
          <w:i/>
          <w:sz w:val="24"/>
          <w:szCs w:val="24"/>
        </w:rPr>
        <w:t>ідприємців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громадських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формувань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- для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юридичних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осіб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резидентів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>;</w:t>
      </w:r>
    </w:p>
    <w:p w:rsidR="00AB5596" w:rsidRPr="00AB5596" w:rsidRDefault="00AB5596" w:rsidP="00AB559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59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інформація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B5596">
        <w:rPr>
          <w:rFonts w:ascii="Times New Roman" w:hAnsi="Times New Roman" w:cs="Times New Roman"/>
          <w:i/>
          <w:sz w:val="24"/>
          <w:szCs w:val="24"/>
        </w:rPr>
        <w:t>про</w:t>
      </w:r>
      <w:proofErr w:type="gram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кінцевого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бенефіціарного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власника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особа не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має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кінцевого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бенефіціарного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власника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зазначається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інформація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відсутність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кінцевого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бенефіціарного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власника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і про причину </w:t>
      </w:r>
      <w:proofErr w:type="spellStart"/>
      <w:proofErr w:type="gramStart"/>
      <w:r w:rsidRPr="00AB5596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B5596">
        <w:rPr>
          <w:rFonts w:ascii="Times New Roman" w:hAnsi="Times New Roman" w:cs="Times New Roman"/>
          <w:i/>
          <w:sz w:val="24"/>
          <w:szCs w:val="24"/>
        </w:rPr>
        <w:t>ідсутності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>;</w:t>
      </w:r>
    </w:p>
    <w:p w:rsidR="00AB5596" w:rsidRDefault="00AB5596" w:rsidP="00AB5596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55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документ,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559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AB5596">
        <w:rPr>
          <w:rFonts w:ascii="Times New Roman" w:hAnsi="Times New Roman" w:cs="Times New Roman"/>
          <w:i/>
          <w:sz w:val="24"/>
          <w:szCs w:val="24"/>
        </w:rPr>
        <w:t>ідтверджує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сплату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реєстраційного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внеску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також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документ,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підтверджує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сплату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гарантійного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внеску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5596">
        <w:rPr>
          <w:rFonts w:ascii="Times New Roman" w:hAnsi="Times New Roman" w:cs="Times New Roman"/>
          <w:i/>
          <w:sz w:val="24"/>
          <w:szCs w:val="24"/>
        </w:rPr>
        <w:t>учасником</w:t>
      </w:r>
      <w:proofErr w:type="spellEnd"/>
      <w:r w:rsidRPr="00AB5596">
        <w:rPr>
          <w:rFonts w:ascii="Times New Roman" w:hAnsi="Times New Roman" w:cs="Times New Roman"/>
          <w:i/>
          <w:sz w:val="24"/>
          <w:szCs w:val="24"/>
        </w:rPr>
        <w:t>.</w:t>
      </w:r>
    </w:p>
    <w:p w:rsidR="001B726B" w:rsidRPr="00062CC7" w:rsidRDefault="001B726B" w:rsidP="00AB55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CC7">
        <w:rPr>
          <w:rFonts w:ascii="Times New Roman" w:hAnsi="Times New Roman" w:cs="Times New Roman"/>
          <w:sz w:val="24"/>
          <w:szCs w:val="24"/>
          <w:lang w:val="uk-UA"/>
        </w:rPr>
        <w:t xml:space="preserve">Разом із цим учасником не дотримано зазначених вимог, </w:t>
      </w:r>
      <w:r w:rsidR="00062CC7" w:rsidRPr="00062CC7">
        <w:rPr>
          <w:rFonts w:ascii="Times New Roman" w:hAnsi="Times New Roman" w:cs="Times New Roman"/>
          <w:sz w:val="24"/>
          <w:szCs w:val="24"/>
          <w:lang w:val="uk-UA"/>
        </w:rPr>
        <w:t>та не до</w:t>
      </w:r>
      <w:r w:rsidR="00442560" w:rsidRPr="00062CC7">
        <w:rPr>
          <w:rFonts w:ascii="Times New Roman" w:hAnsi="Times New Roman" w:cs="Times New Roman"/>
          <w:sz w:val="24"/>
          <w:szCs w:val="24"/>
          <w:lang w:val="uk-UA"/>
        </w:rPr>
        <w:t>дано</w:t>
      </w:r>
      <w:r w:rsidR="00FC6B4E">
        <w:rPr>
          <w:rFonts w:ascii="Times New Roman" w:hAnsi="Times New Roman" w:cs="Times New Roman"/>
          <w:sz w:val="24"/>
          <w:szCs w:val="24"/>
          <w:lang w:val="uk-UA"/>
        </w:rPr>
        <w:t xml:space="preserve"> (завантажено) в ЕТС</w:t>
      </w:r>
      <w:r w:rsidR="00442560" w:rsidRPr="00062CC7">
        <w:rPr>
          <w:rFonts w:ascii="Times New Roman" w:hAnsi="Times New Roman" w:cs="Times New Roman"/>
          <w:sz w:val="24"/>
          <w:szCs w:val="24"/>
          <w:lang w:val="uk-UA"/>
        </w:rPr>
        <w:t xml:space="preserve"> вищезазначених документів.</w:t>
      </w:r>
    </w:p>
    <w:p w:rsidR="00D15B7C" w:rsidRPr="00062CC7" w:rsidRDefault="00D15B7C" w:rsidP="00D15B7C">
      <w:pPr>
        <w:tabs>
          <w:tab w:val="left" w:pos="8505"/>
        </w:tabs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b/>
          <w:spacing w:val="-6"/>
          <w:sz w:val="26"/>
          <w:szCs w:val="26"/>
          <w:lang w:val="uk-UA"/>
        </w:rPr>
        <w:t xml:space="preserve">1. ВИРІШИЛИ:  </w:t>
      </w:r>
    </w:p>
    <w:p w:rsidR="005B4E7F" w:rsidRPr="00062CC7" w:rsidRDefault="00D15B7C" w:rsidP="006216B0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1.1. </w:t>
      </w:r>
      <w:r w:rsidR="00E5340A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</w:t>
      </w:r>
      <w:r w:rsidR="006216B0" w:rsidRPr="00062CC7">
        <w:rPr>
          <w:rFonts w:ascii="Times New Roman" w:hAnsi="Times New Roman" w:cs="Times New Roman"/>
          <w:sz w:val="26"/>
          <w:szCs w:val="26"/>
          <w:lang w:val="uk-UA"/>
        </w:rPr>
        <w:t>недотримання учасником</w:t>
      </w:r>
      <w:r w:rsidR="00442560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6B4E">
        <w:rPr>
          <w:rFonts w:ascii="Times New Roman" w:hAnsi="Times New Roman" w:cs="Times New Roman"/>
          <w:sz w:val="26"/>
          <w:szCs w:val="26"/>
          <w:lang w:val="uk-UA"/>
        </w:rPr>
        <w:t xml:space="preserve">фізичною особою-підприємцем </w:t>
      </w:r>
      <w:proofErr w:type="spellStart"/>
      <w:r w:rsidR="00FC6B4E">
        <w:rPr>
          <w:rFonts w:ascii="Times New Roman" w:hAnsi="Times New Roman" w:cs="Times New Roman"/>
          <w:sz w:val="26"/>
          <w:szCs w:val="26"/>
          <w:lang w:val="uk-UA"/>
        </w:rPr>
        <w:t>Панаетовим</w:t>
      </w:r>
      <w:proofErr w:type="spellEnd"/>
      <w:r w:rsidR="00FC6B4E">
        <w:rPr>
          <w:rFonts w:ascii="Times New Roman" w:hAnsi="Times New Roman" w:cs="Times New Roman"/>
          <w:sz w:val="26"/>
          <w:szCs w:val="26"/>
          <w:lang w:val="uk-UA"/>
        </w:rPr>
        <w:t xml:space="preserve"> Андрієм Володимировичем, ІПН </w:t>
      </w:r>
      <w:r w:rsidR="00FC6B4E" w:rsidRPr="005D325E">
        <w:rPr>
          <w:rFonts w:ascii="Times New Roman" w:hAnsi="Times New Roman" w:cs="Times New Roman"/>
          <w:sz w:val="26"/>
          <w:szCs w:val="26"/>
          <w:lang w:val="uk-UA"/>
        </w:rPr>
        <w:t xml:space="preserve">2218314674 </w:t>
      </w:r>
      <w:r w:rsidR="0097479B" w:rsidRPr="00062CC7">
        <w:rPr>
          <w:rFonts w:ascii="Times New Roman" w:hAnsi="Times New Roman" w:cs="Times New Roman"/>
          <w:sz w:val="26"/>
          <w:szCs w:val="26"/>
          <w:lang w:val="uk-UA"/>
        </w:rPr>
        <w:t>вимог проведення аукціону, визначених у документації електронного аукціону (файл «Відомості про майно, його склад та характеристики»)</w:t>
      </w:r>
      <w:r w:rsidR="005A465B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, дискваліфікувати пропозицію учасника на підставі п. 1.2. Відомостей та </w:t>
      </w:r>
      <w:r w:rsidR="00442560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п. 32 </w:t>
      </w:r>
      <w:r w:rsidR="005A465B" w:rsidRPr="00062CC7">
        <w:rPr>
          <w:rFonts w:ascii="Times New Roman" w:hAnsi="Times New Roman" w:cs="Times New Roman"/>
          <w:sz w:val="26"/>
          <w:szCs w:val="26"/>
          <w:lang w:val="uk-UA"/>
        </w:rPr>
        <w:t>Порядку відчуження об’єктів державної власності, затвердженого постановою Кабінету Міністрів України від 6 червня 2007 р. № 803 (в редакції постанови Кабінету Міністрів України від 23 жовтня 2019 р. № 884).</w:t>
      </w:r>
      <w:r w:rsidR="0097479B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00D1E" w:rsidRDefault="00D15B7C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1.2. Секретарю комісії Зайцю А.М. </w:t>
      </w:r>
      <w:r w:rsidR="005A465B" w:rsidRPr="00062CC7">
        <w:rPr>
          <w:rFonts w:ascii="Times New Roman" w:hAnsi="Times New Roman" w:cs="Times New Roman"/>
          <w:sz w:val="26"/>
          <w:szCs w:val="26"/>
          <w:lang w:val="uk-UA"/>
        </w:rPr>
        <w:t>розмістити</w:t>
      </w:r>
      <w:r w:rsidR="005B4E7F"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відповідне рішення </w:t>
      </w:r>
      <w:r w:rsidR="005A465B" w:rsidRPr="00062CC7">
        <w:rPr>
          <w:rFonts w:ascii="Times New Roman" w:hAnsi="Times New Roman" w:cs="Times New Roman"/>
          <w:sz w:val="26"/>
          <w:szCs w:val="26"/>
          <w:lang w:val="uk-UA"/>
        </w:rPr>
        <w:t>в електронній торговій системі</w:t>
      </w:r>
      <w:r w:rsidR="001A3E36" w:rsidRPr="00062CC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6B4E" w:rsidRPr="00062CC7" w:rsidRDefault="00FC6B4E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1.3. </w:t>
      </w: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Секретарю комісії Зайцю А.М.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повторно </w:t>
      </w: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розмістити оголошення про проведення аукціону в електронній торговій системі </w:t>
      </w:r>
      <w:proofErr w:type="spellStart"/>
      <w:r w:rsidRPr="00062CC7">
        <w:rPr>
          <w:rFonts w:ascii="Times New Roman" w:hAnsi="Times New Roman" w:cs="Times New Roman"/>
          <w:sz w:val="26"/>
          <w:szCs w:val="26"/>
          <w:lang w:val="uk-UA"/>
        </w:rPr>
        <w:t>ProZorro.Продажі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62CC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FC6B4E">
        <w:rPr>
          <w:rFonts w:ascii="Times New Roman" w:hAnsi="Times New Roman" w:cs="Times New Roman"/>
          <w:sz w:val="26"/>
          <w:szCs w:val="26"/>
          <w:lang w:val="uk-UA"/>
        </w:rPr>
        <w:t>Вторинна сировина – списані антени та ДБЖ»</w:t>
      </w: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, із стартовою ціною продажу </w:t>
      </w:r>
      <w:r>
        <w:rPr>
          <w:rFonts w:ascii="Times New Roman" w:hAnsi="Times New Roman" w:cs="Times New Roman"/>
          <w:sz w:val="26"/>
          <w:szCs w:val="26"/>
          <w:lang w:val="uk-UA"/>
        </w:rPr>
        <w:t>115,20</w:t>
      </w:r>
      <w:r w:rsidRPr="00062CC7">
        <w:rPr>
          <w:rFonts w:ascii="Times New Roman" w:hAnsi="Times New Roman" w:cs="Times New Roman"/>
          <w:sz w:val="26"/>
          <w:szCs w:val="26"/>
          <w:lang w:val="uk-UA"/>
        </w:rPr>
        <w:t xml:space="preserve"> грн. (з ПДВ).</w:t>
      </w:r>
    </w:p>
    <w:p w:rsidR="006D6E82" w:rsidRPr="00062CC7" w:rsidRDefault="006D6E82" w:rsidP="00200D1E">
      <w:pPr>
        <w:widowControl w:val="0"/>
        <w:spacing w:after="0" w:line="240" w:lineRule="auto"/>
        <w:ind w:right="-12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1. ГОЛОСУВАЛИ:</w:t>
      </w:r>
      <w:r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“За” – </w:t>
      </w:r>
      <w:r w:rsidR="007764A0">
        <w:rPr>
          <w:rFonts w:ascii="Times New Roman" w:hAnsi="Times New Roman" w:cs="Times New Roman"/>
          <w:color w:val="000000"/>
          <w:sz w:val="26"/>
          <w:szCs w:val="26"/>
          <w:lang w:val="uk-UA"/>
        </w:rPr>
        <w:t>8,    “Проти” – 0</w:t>
      </w:r>
      <w:r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     “Утримались” –  </w:t>
      </w:r>
      <w:r w:rsidR="007764A0">
        <w:rPr>
          <w:rFonts w:ascii="Times New Roman" w:hAnsi="Times New Roman" w:cs="Times New Roman"/>
          <w:color w:val="000000"/>
          <w:sz w:val="26"/>
          <w:szCs w:val="26"/>
          <w:lang w:val="uk-UA"/>
        </w:rPr>
        <w:t>0</w:t>
      </w:r>
      <w:bookmarkStart w:id="0" w:name="_GoBack"/>
      <w:bookmarkEnd w:id="0"/>
      <w:r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:rsidR="006D6E82" w:rsidRPr="00062CC7" w:rsidRDefault="006D6E82" w:rsidP="00200D1E">
      <w:pPr>
        <w:widowControl w:val="0"/>
        <w:tabs>
          <w:tab w:val="left" w:pos="9781"/>
        </w:tabs>
        <w:spacing w:after="0" w:line="240" w:lineRule="auto"/>
        <w:ind w:right="-319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062CC7">
        <w:rPr>
          <w:rFonts w:ascii="Times New Roman" w:hAnsi="Times New Roman" w:cs="Times New Roman"/>
          <w:color w:val="000000"/>
          <w:sz w:val="26"/>
          <w:szCs w:val="26"/>
          <w:lang w:val="uk-UA"/>
        </w:rPr>
        <w:t>Рішення прийнято.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2660"/>
        <w:gridCol w:w="4678"/>
        <w:gridCol w:w="2976"/>
      </w:tblGrid>
      <w:tr w:rsidR="006D6E82" w:rsidRPr="00062CC7" w:rsidTr="00AC438C">
        <w:tc>
          <w:tcPr>
            <w:tcW w:w="2660" w:type="dxa"/>
            <w:hideMark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Голова комісії  </w:t>
            </w:r>
          </w:p>
        </w:tc>
        <w:tc>
          <w:tcPr>
            <w:tcW w:w="4678" w:type="dxa"/>
            <w:vAlign w:val="center"/>
            <w:hideMark/>
          </w:tcPr>
          <w:p w:rsidR="006D6E82" w:rsidRPr="00062CC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Співак Г. Г.</w:t>
            </w:r>
          </w:p>
        </w:tc>
      </w:tr>
      <w:tr w:rsidR="006D6E82" w:rsidRPr="00062CC7" w:rsidTr="00AC438C">
        <w:tc>
          <w:tcPr>
            <w:tcW w:w="2660" w:type="dxa"/>
            <w:hideMark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Члени комісії: </w:t>
            </w:r>
          </w:p>
        </w:tc>
        <w:tc>
          <w:tcPr>
            <w:tcW w:w="4678" w:type="dxa"/>
            <w:vAlign w:val="center"/>
          </w:tcPr>
          <w:p w:rsidR="006D6E82" w:rsidRPr="00062CC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6D6E82" w:rsidRPr="00062CC7" w:rsidTr="00AC438C">
        <w:tc>
          <w:tcPr>
            <w:tcW w:w="2660" w:type="dxa"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062CC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  <w:p w:rsidR="004920D9" w:rsidRPr="00062CC7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  <w:p w:rsidR="004920D9" w:rsidRPr="00062CC7" w:rsidRDefault="004920D9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062CC7" w:rsidRDefault="00B9368F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Безорчук</w:t>
            </w:r>
            <w:proofErr w:type="spellEnd"/>
            <w:r w:rsidR="004920D9"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А.Л.</w:t>
            </w:r>
          </w:p>
          <w:p w:rsidR="004920D9" w:rsidRPr="00062CC7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Кошель</w:t>
            </w:r>
            <w:proofErr w:type="spellEnd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В.М.</w:t>
            </w:r>
          </w:p>
          <w:p w:rsidR="004920D9" w:rsidRPr="00062CC7" w:rsidRDefault="004920D9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Кравцов С.І.</w:t>
            </w:r>
          </w:p>
        </w:tc>
      </w:tr>
      <w:tr w:rsidR="006D6E82" w:rsidRPr="00062CC7" w:rsidTr="00AC438C">
        <w:tc>
          <w:tcPr>
            <w:tcW w:w="2660" w:type="dxa"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062CC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Мамонтов</w:t>
            </w:r>
            <w:proofErr w:type="spellEnd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К. М. </w:t>
            </w:r>
          </w:p>
        </w:tc>
      </w:tr>
      <w:tr w:rsidR="006D6E82" w:rsidRPr="00062CC7" w:rsidTr="00AC438C">
        <w:tc>
          <w:tcPr>
            <w:tcW w:w="2660" w:type="dxa"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062CC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Несмашний</w:t>
            </w:r>
            <w:proofErr w:type="spellEnd"/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В.А.</w:t>
            </w:r>
          </w:p>
        </w:tc>
      </w:tr>
      <w:tr w:rsidR="006D6E82" w:rsidRPr="00062CC7" w:rsidTr="00AC438C">
        <w:tc>
          <w:tcPr>
            <w:tcW w:w="2660" w:type="dxa"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4678" w:type="dxa"/>
            <w:vAlign w:val="center"/>
            <w:hideMark/>
          </w:tcPr>
          <w:p w:rsidR="006D6E82" w:rsidRPr="00062CC7" w:rsidRDefault="006D6E82" w:rsidP="0020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976" w:type="dxa"/>
            <w:hideMark/>
          </w:tcPr>
          <w:p w:rsidR="006D6E82" w:rsidRPr="00062CC7" w:rsidRDefault="00CD0B15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Якименко О.І.</w:t>
            </w:r>
          </w:p>
        </w:tc>
      </w:tr>
      <w:tr w:rsidR="006D6E82" w:rsidRPr="00062CC7" w:rsidTr="00AC438C">
        <w:tc>
          <w:tcPr>
            <w:tcW w:w="2660" w:type="dxa"/>
            <w:hideMark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4678" w:type="dxa"/>
            <w:vAlign w:val="center"/>
            <w:hideMark/>
          </w:tcPr>
          <w:p w:rsidR="006D6E82" w:rsidRPr="00062CC7" w:rsidRDefault="006D6E82" w:rsidP="00200D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</w:t>
            </w:r>
            <w:r w:rsidRPr="00062C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62C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___________________</w:t>
            </w:r>
          </w:p>
        </w:tc>
        <w:tc>
          <w:tcPr>
            <w:tcW w:w="2976" w:type="dxa"/>
            <w:hideMark/>
          </w:tcPr>
          <w:p w:rsidR="006D6E82" w:rsidRPr="00062CC7" w:rsidRDefault="006D6E82" w:rsidP="00200D1E">
            <w:pPr>
              <w:widowControl w:val="0"/>
              <w:tabs>
                <w:tab w:val="left" w:pos="9781"/>
              </w:tabs>
              <w:spacing w:after="0" w:line="240" w:lineRule="auto"/>
              <w:ind w:right="-31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062CC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Заєць А.М.</w:t>
            </w:r>
          </w:p>
        </w:tc>
      </w:tr>
    </w:tbl>
    <w:p w:rsidR="00CC3F78" w:rsidRPr="00062CC7" w:rsidRDefault="00CC3F78" w:rsidP="009B793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CC3F78" w:rsidRPr="00062CC7" w:rsidSect="00DE2E75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97E"/>
    <w:multiLevelType w:val="hybridMultilevel"/>
    <w:tmpl w:val="D56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A9A"/>
    <w:multiLevelType w:val="multilevel"/>
    <w:tmpl w:val="8488C3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BA342D"/>
    <w:multiLevelType w:val="multilevel"/>
    <w:tmpl w:val="BBB49D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2D3873"/>
    <w:multiLevelType w:val="hybridMultilevel"/>
    <w:tmpl w:val="9CE80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5418C"/>
    <w:multiLevelType w:val="hybridMultilevel"/>
    <w:tmpl w:val="0ABAF47C"/>
    <w:lvl w:ilvl="0" w:tplc="8FF64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D0622"/>
    <w:multiLevelType w:val="hybridMultilevel"/>
    <w:tmpl w:val="87C886DC"/>
    <w:lvl w:ilvl="0" w:tplc="517EB0D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70A1D02"/>
    <w:multiLevelType w:val="hybridMultilevel"/>
    <w:tmpl w:val="2BC22724"/>
    <w:lvl w:ilvl="0" w:tplc="41DAA9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A893A41"/>
    <w:multiLevelType w:val="hybridMultilevel"/>
    <w:tmpl w:val="34B43352"/>
    <w:lvl w:ilvl="0" w:tplc="A8F8C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7C20BF"/>
    <w:multiLevelType w:val="multilevel"/>
    <w:tmpl w:val="D65AC6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4BD2385"/>
    <w:multiLevelType w:val="multilevel"/>
    <w:tmpl w:val="B09279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5E6071F"/>
    <w:multiLevelType w:val="hybridMultilevel"/>
    <w:tmpl w:val="49523EC2"/>
    <w:lvl w:ilvl="0" w:tplc="86D2A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8C7CC3"/>
    <w:multiLevelType w:val="hybridMultilevel"/>
    <w:tmpl w:val="655CE83A"/>
    <w:lvl w:ilvl="0" w:tplc="C7E29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0EEB"/>
    <w:multiLevelType w:val="hybridMultilevel"/>
    <w:tmpl w:val="DACAF15C"/>
    <w:lvl w:ilvl="0" w:tplc="93780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F67A4A"/>
    <w:multiLevelType w:val="hybridMultilevel"/>
    <w:tmpl w:val="A614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8"/>
    <w:rsid w:val="00006CD2"/>
    <w:rsid w:val="00024600"/>
    <w:rsid w:val="00034A6F"/>
    <w:rsid w:val="0003734D"/>
    <w:rsid w:val="00043038"/>
    <w:rsid w:val="00044246"/>
    <w:rsid w:val="00062CC7"/>
    <w:rsid w:val="000941A7"/>
    <w:rsid w:val="00097DFC"/>
    <w:rsid w:val="000A5B2A"/>
    <w:rsid w:val="000A5DD8"/>
    <w:rsid w:val="000A6587"/>
    <w:rsid w:val="000B070C"/>
    <w:rsid w:val="000B7895"/>
    <w:rsid w:val="000C2421"/>
    <w:rsid w:val="000F3292"/>
    <w:rsid w:val="00131E5E"/>
    <w:rsid w:val="001343D9"/>
    <w:rsid w:val="00137F30"/>
    <w:rsid w:val="0014197C"/>
    <w:rsid w:val="00141D2E"/>
    <w:rsid w:val="00154D22"/>
    <w:rsid w:val="0016333D"/>
    <w:rsid w:val="00167A48"/>
    <w:rsid w:val="0017006B"/>
    <w:rsid w:val="00175DD2"/>
    <w:rsid w:val="001803BF"/>
    <w:rsid w:val="001853B9"/>
    <w:rsid w:val="001867B5"/>
    <w:rsid w:val="001908C2"/>
    <w:rsid w:val="001956D8"/>
    <w:rsid w:val="001A3E36"/>
    <w:rsid w:val="001B726B"/>
    <w:rsid w:val="001C02C8"/>
    <w:rsid w:val="001C197C"/>
    <w:rsid w:val="001C3AA7"/>
    <w:rsid w:val="001C4763"/>
    <w:rsid w:val="001D37C7"/>
    <w:rsid w:val="001E3BAC"/>
    <w:rsid w:val="001F2828"/>
    <w:rsid w:val="00200D1E"/>
    <w:rsid w:val="002122B7"/>
    <w:rsid w:val="00213440"/>
    <w:rsid w:val="00213472"/>
    <w:rsid w:val="00233542"/>
    <w:rsid w:val="00233E0D"/>
    <w:rsid w:val="00236299"/>
    <w:rsid w:val="00236485"/>
    <w:rsid w:val="002407E7"/>
    <w:rsid w:val="00241D03"/>
    <w:rsid w:val="00245FA0"/>
    <w:rsid w:val="0025493A"/>
    <w:rsid w:val="00296BC7"/>
    <w:rsid w:val="002B61A6"/>
    <w:rsid w:val="002B6859"/>
    <w:rsid w:val="002D3C8F"/>
    <w:rsid w:val="002E43E2"/>
    <w:rsid w:val="002F093C"/>
    <w:rsid w:val="00300DFC"/>
    <w:rsid w:val="00302454"/>
    <w:rsid w:val="00317997"/>
    <w:rsid w:val="00326C6C"/>
    <w:rsid w:val="00346B6C"/>
    <w:rsid w:val="003631F5"/>
    <w:rsid w:val="00366106"/>
    <w:rsid w:val="00371193"/>
    <w:rsid w:val="0037209C"/>
    <w:rsid w:val="00375A09"/>
    <w:rsid w:val="00386B07"/>
    <w:rsid w:val="00394C6C"/>
    <w:rsid w:val="003B1248"/>
    <w:rsid w:val="003B342D"/>
    <w:rsid w:val="003B588D"/>
    <w:rsid w:val="003C6347"/>
    <w:rsid w:val="003D639D"/>
    <w:rsid w:val="003E5ACF"/>
    <w:rsid w:val="003E74C9"/>
    <w:rsid w:val="003F215E"/>
    <w:rsid w:val="00414744"/>
    <w:rsid w:val="00414FFA"/>
    <w:rsid w:val="00415295"/>
    <w:rsid w:val="0041777D"/>
    <w:rsid w:val="004206FF"/>
    <w:rsid w:val="00424183"/>
    <w:rsid w:val="00433B4F"/>
    <w:rsid w:val="00442560"/>
    <w:rsid w:val="004571DD"/>
    <w:rsid w:val="0047332B"/>
    <w:rsid w:val="00475DBA"/>
    <w:rsid w:val="004920D9"/>
    <w:rsid w:val="004A475B"/>
    <w:rsid w:val="004A7B1F"/>
    <w:rsid w:val="004C1BB7"/>
    <w:rsid w:val="004C4215"/>
    <w:rsid w:val="004E5200"/>
    <w:rsid w:val="004E5BF9"/>
    <w:rsid w:val="004F46F2"/>
    <w:rsid w:val="0050411C"/>
    <w:rsid w:val="00510BE8"/>
    <w:rsid w:val="0051773E"/>
    <w:rsid w:val="00520C00"/>
    <w:rsid w:val="0053045A"/>
    <w:rsid w:val="00544656"/>
    <w:rsid w:val="00546E02"/>
    <w:rsid w:val="00551B77"/>
    <w:rsid w:val="005823CA"/>
    <w:rsid w:val="00592D87"/>
    <w:rsid w:val="00592F4C"/>
    <w:rsid w:val="00596996"/>
    <w:rsid w:val="005A465B"/>
    <w:rsid w:val="005B4E7F"/>
    <w:rsid w:val="005B6D9E"/>
    <w:rsid w:val="005D3105"/>
    <w:rsid w:val="005D325E"/>
    <w:rsid w:val="005F4022"/>
    <w:rsid w:val="00617319"/>
    <w:rsid w:val="006216B0"/>
    <w:rsid w:val="006314AA"/>
    <w:rsid w:val="00633F76"/>
    <w:rsid w:val="006433F5"/>
    <w:rsid w:val="00656793"/>
    <w:rsid w:val="0067553B"/>
    <w:rsid w:val="006851AC"/>
    <w:rsid w:val="0068523B"/>
    <w:rsid w:val="00691F8C"/>
    <w:rsid w:val="006A677A"/>
    <w:rsid w:val="006C05E5"/>
    <w:rsid w:val="006D57A9"/>
    <w:rsid w:val="006D631E"/>
    <w:rsid w:val="006D6E82"/>
    <w:rsid w:val="006E63E9"/>
    <w:rsid w:val="00714B40"/>
    <w:rsid w:val="007256C4"/>
    <w:rsid w:val="007269D8"/>
    <w:rsid w:val="00730C62"/>
    <w:rsid w:val="0074221A"/>
    <w:rsid w:val="00745099"/>
    <w:rsid w:val="00750859"/>
    <w:rsid w:val="00751658"/>
    <w:rsid w:val="00773E62"/>
    <w:rsid w:val="007764A0"/>
    <w:rsid w:val="00776C07"/>
    <w:rsid w:val="00782E43"/>
    <w:rsid w:val="00784533"/>
    <w:rsid w:val="007847E6"/>
    <w:rsid w:val="00785892"/>
    <w:rsid w:val="00792B3F"/>
    <w:rsid w:val="007A045E"/>
    <w:rsid w:val="007A4E4B"/>
    <w:rsid w:val="007A513C"/>
    <w:rsid w:val="007E1C05"/>
    <w:rsid w:val="007F513B"/>
    <w:rsid w:val="007F5D37"/>
    <w:rsid w:val="00800E6D"/>
    <w:rsid w:val="008108DB"/>
    <w:rsid w:val="008127DE"/>
    <w:rsid w:val="008142F4"/>
    <w:rsid w:val="00816406"/>
    <w:rsid w:val="0083757E"/>
    <w:rsid w:val="00845B0F"/>
    <w:rsid w:val="00850384"/>
    <w:rsid w:val="00854313"/>
    <w:rsid w:val="00854F6C"/>
    <w:rsid w:val="00857DF5"/>
    <w:rsid w:val="00867C39"/>
    <w:rsid w:val="008735FF"/>
    <w:rsid w:val="00887027"/>
    <w:rsid w:val="00891E2A"/>
    <w:rsid w:val="008922A0"/>
    <w:rsid w:val="008A0FB6"/>
    <w:rsid w:val="008A0FE4"/>
    <w:rsid w:val="008B1F3D"/>
    <w:rsid w:val="008B2CBA"/>
    <w:rsid w:val="008B5343"/>
    <w:rsid w:val="008C1D1B"/>
    <w:rsid w:val="008C2076"/>
    <w:rsid w:val="008C626F"/>
    <w:rsid w:val="008D1129"/>
    <w:rsid w:val="008E0C99"/>
    <w:rsid w:val="008E4079"/>
    <w:rsid w:val="008E705F"/>
    <w:rsid w:val="008F0CD9"/>
    <w:rsid w:val="008F13A3"/>
    <w:rsid w:val="008F23E4"/>
    <w:rsid w:val="008F30BB"/>
    <w:rsid w:val="008F6538"/>
    <w:rsid w:val="00904BA3"/>
    <w:rsid w:val="00917A9C"/>
    <w:rsid w:val="009241B6"/>
    <w:rsid w:val="009265EE"/>
    <w:rsid w:val="00926A42"/>
    <w:rsid w:val="00930143"/>
    <w:rsid w:val="00931958"/>
    <w:rsid w:val="00932D1C"/>
    <w:rsid w:val="00937011"/>
    <w:rsid w:val="00937368"/>
    <w:rsid w:val="00962F8B"/>
    <w:rsid w:val="009639A2"/>
    <w:rsid w:val="0097479B"/>
    <w:rsid w:val="00980B44"/>
    <w:rsid w:val="00980D36"/>
    <w:rsid w:val="009955FC"/>
    <w:rsid w:val="009A4165"/>
    <w:rsid w:val="009B462D"/>
    <w:rsid w:val="009B7930"/>
    <w:rsid w:val="009C3553"/>
    <w:rsid w:val="009C788D"/>
    <w:rsid w:val="009D3028"/>
    <w:rsid w:val="009E3790"/>
    <w:rsid w:val="009E7FD8"/>
    <w:rsid w:val="009F2C2C"/>
    <w:rsid w:val="009F60E8"/>
    <w:rsid w:val="00A06ACC"/>
    <w:rsid w:val="00A14097"/>
    <w:rsid w:val="00A1684B"/>
    <w:rsid w:val="00A20A95"/>
    <w:rsid w:val="00A233C7"/>
    <w:rsid w:val="00A25772"/>
    <w:rsid w:val="00A30423"/>
    <w:rsid w:val="00A403C2"/>
    <w:rsid w:val="00A41017"/>
    <w:rsid w:val="00A55CA8"/>
    <w:rsid w:val="00A609EE"/>
    <w:rsid w:val="00A71C67"/>
    <w:rsid w:val="00A72B47"/>
    <w:rsid w:val="00A7777F"/>
    <w:rsid w:val="00A959FE"/>
    <w:rsid w:val="00AB3EA5"/>
    <w:rsid w:val="00AB5596"/>
    <w:rsid w:val="00AC20DA"/>
    <w:rsid w:val="00AC78F4"/>
    <w:rsid w:val="00AD4C77"/>
    <w:rsid w:val="00AE61D6"/>
    <w:rsid w:val="00AE637C"/>
    <w:rsid w:val="00AF0E52"/>
    <w:rsid w:val="00AF4191"/>
    <w:rsid w:val="00B20C7A"/>
    <w:rsid w:val="00B22772"/>
    <w:rsid w:val="00B26121"/>
    <w:rsid w:val="00B301E5"/>
    <w:rsid w:val="00B719E8"/>
    <w:rsid w:val="00B75A51"/>
    <w:rsid w:val="00B9368F"/>
    <w:rsid w:val="00B9529D"/>
    <w:rsid w:val="00BA0440"/>
    <w:rsid w:val="00C0625D"/>
    <w:rsid w:val="00C06564"/>
    <w:rsid w:val="00C17A8C"/>
    <w:rsid w:val="00C2139A"/>
    <w:rsid w:val="00C30F65"/>
    <w:rsid w:val="00C335F8"/>
    <w:rsid w:val="00C35F91"/>
    <w:rsid w:val="00C4160F"/>
    <w:rsid w:val="00C45FD4"/>
    <w:rsid w:val="00C563B4"/>
    <w:rsid w:val="00C62655"/>
    <w:rsid w:val="00C801E1"/>
    <w:rsid w:val="00C85080"/>
    <w:rsid w:val="00C8765E"/>
    <w:rsid w:val="00C91684"/>
    <w:rsid w:val="00C923A7"/>
    <w:rsid w:val="00CA281C"/>
    <w:rsid w:val="00CA5643"/>
    <w:rsid w:val="00CB3C8D"/>
    <w:rsid w:val="00CB4275"/>
    <w:rsid w:val="00CB6784"/>
    <w:rsid w:val="00CC1842"/>
    <w:rsid w:val="00CC3F78"/>
    <w:rsid w:val="00CC5B58"/>
    <w:rsid w:val="00CD0B15"/>
    <w:rsid w:val="00CD1A97"/>
    <w:rsid w:val="00CD2CE5"/>
    <w:rsid w:val="00CE3F9A"/>
    <w:rsid w:val="00CE70DC"/>
    <w:rsid w:val="00D008E8"/>
    <w:rsid w:val="00D03220"/>
    <w:rsid w:val="00D10393"/>
    <w:rsid w:val="00D1424E"/>
    <w:rsid w:val="00D15335"/>
    <w:rsid w:val="00D15B7C"/>
    <w:rsid w:val="00D20FA9"/>
    <w:rsid w:val="00D36B51"/>
    <w:rsid w:val="00D42603"/>
    <w:rsid w:val="00D433AA"/>
    <w:rsid w:val="00D4514F"/>
    <w:rsid w:val="00D573F7"/>
    <w:rsid w:val="00D574CD"/>
    <w:rsid w:val="00D713FC"/>
    <w:rsid w:val="00D81D78"/>
    <w:rsid w:val="00D82FA8"/>
    <w:rsid w:val="00D84999"/>
    <w:rsid w:val="00D854D3"/>
    <w:rsid w:val="00D902EB"/>
    <w:rsid w:val="00DC0003"/>
    <w:rsid w:val="00DC7C04"/>
    <w:rsid w:val="00DD1834"/>
    <w:rsid w:val="00DD38F9"/>
    <w:rsid w:val="00DD6BB0"/>
    <w:rsid w:val="00DE023E"/>
    <w:rsid w:val="00DE2E75"/>
    <w:rsid w:val="00DE4181"/>
    <w:rsid w:val="00DF5C75"/>
    <w:rsid w:val="00DF6DF3"/>
    <w:rsid w:val="00E01878"/>
    <w:rsid w:val="00E13760"/>
    <w:rsid w:val="00E16307"/>
    <w:rsid w:val="00E244F0"/>
    <w:rsid w:val="00E33201"/>
    <w:rsid w:val="00E41D94"/>
    <w:rsid w:val="00E42479"/>
    <w:rsid w:val="00E51A35"/>
    <w:rsid w:val="00E5340A"/>
    <w:rsid w:val="00E6181C"/>
    <w:rsid w:val="00E619F4"/>
    <w:rsid w:val="00E7168B"/>
    <w:rsid w:val="00E808E0"/>
    <w:rsid w:val="00E91C88"/>
    <w:rsid w:val="00E97842"/>
    <w:rsid w:val="00E978C9"/>
    <w:rsid w:val="00EA2C92"/>
    <w:rsid w:val="00EC0ACB"/>
    <w:rsid w:val="00ED3A0E"/>
    <w:rsid w:val="00ED4ADE"/>
    <w:rsid w:val="00ED7067"/>
    <w:rsid w:val="00EF02DA"/>
    <w:rsid w:val="00EF4B46"/>
    <w:rsid w:val="00EF56E1"/>
    <w:rsid w:val="00F006F1"/>
    <w:rsid w:val="00F033D3"/>
    <w:rsid w:val="00F03627"/>
    <w:rsid w:val="00F06E05"/>
    <w:rsid w:val="00F107FF"/>
    <w:rsid w:val="00F45D01"/>
    <w:rsid w:val="00F6527F"/>
    <w:rsid w:val="00F67E37"/>
    <w:rsid w:val="00F91038"/>
    <w:rsid w:val="00FC6B4E"/>
    <w:rsid w:val="00FC7734"/>
    <w:rsid w:val="00FD0B3C"/>
    <w:rsid w:val="00FE1ECD"/>
    <w:rsid w:val="00FE5475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3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8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-bold">
    <w:name w:val="h-bold"/>
    <w:basedOn w:val="a"/>
    <w:rsid w:val="00D574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14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1D1B"/>
    <w:rPr>
      <w:color w:val="0000FF"/>
      <w:u w:val="single"/>
    </w:rPr>
  </w:style>
  <w:style w:type="table" w:styleId="a7">
    <w:name w:val="Table Grid"/>
    <w:basedOn w:val="a1"/>
    <w:uiPriority w:val="39"/>
    <w:rsid w:val="00ED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C0E0-9BBC-402A-9B59-371D6F9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ЗАЄЦЬ Андрій Миколайович</cp:lastModifiedBy>
  <cp:revision>4</cp:revision>
  <cp:lastPrinted>2021-07-06T10:59:00Z</cp:lastPrinted>
  <dcterms:created xsi:type="dcterms:W3CDTF">2021-07-28T09:57:00Z</dcterms:created>
  <dcterms:modified xsi:type="dcterms:W3CDTF">2021-07-29T13:43:00Z</dcterms:modified>
</cp:coreProperties>
</file>