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EE7804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EE7804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B77BF8" w:rsidRDefault="009F72DE" w:rsidP="00DA66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приміщення площею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41,8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розміщені на другому поверсі будівлі гуртожитку за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адресою: Київська область, місто 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ориспіль,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Бежівка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(на поверховому плані кімнати №№31,32,33,34 та частина приміщення №48 площею 5,7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204E66" w:rsidRDefault="009F72DE" w:rsidP="00DA66C1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F72DE">
              <w:rPr>
                <w:rFonts w:ascii="Times New Roman" w:hAnsi="Times New Roman"/>
                <w:b/>
                <w:sz w:val="22"/>
                <w:szCs w:val="22"/>
              </w:rPr>
              <w:t xml:space="preserve">318 669,20 </w:t>
            </w:r>
            <w:r w:rsidR="00361429"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гривень,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361429" w:rsidP="00204E66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Станом на 3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.1</w:t>
            </w:r>
            <w:r w:rsid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9F72DE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2DE" w:rsidRDefault="009F72DE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2DE" w:rsidRDefault="009F72DE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2DE" w:rsidRPr="00204E66" w:rsidRDefault="009F72DE" w:rsidP="001F094B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F72DE">
              <w:rPr>
                <w:rFonts w:ascii="Times New Roman" w:hAnsi="Times New Roman"/>
                <w:b/>
                <w:sz w:val="22"/>
                <w:szCs w:val="22"/>
              </w:rPr>
              <w:t xml:space="preserve">318 669,20 </w:t>
            </w:r>
            <w:r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гривень, без податку на додану вартість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  <w:r w:rsidR="00FD3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3637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A66C1" w:rsidRDefault="00DA66C1" w:rsidP="009F72D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A66C1">
              <w:rPr>
                <w:rFonts w:ascii="Times New Roman" w:hAnsi="Times New Roman"/>
                <w:sz w:val="22"/>
                <w:szCs w:val="22"/>
              </w:rPr>
              <w:t xml:space="preserve">р/р № UA </w:t>
            </w:r>
            <w:r w:rsidR="009F72DE">
              <w:rPr>
                <w:rFonts w:ascii="Times New Roman" w:hAnsi="Times New Roman"/>
                <w:sz w:val="22"/>
                <w:szCs w:val="22"/>
              </w:rPr>
              <w:t>27</w:t>
            </w:r>
            <w:r w:rsidRPr="00DA66C1">
              <w:rPr>
                <w:rFonts w:ascii="Times New Roman" w:hAnsi="Times New Roman"/>
                <w:sz w:val="22"/>
                <w:szCs w:val="22"/>
              </w:rPr>
              <w:t xml:space="preserve"> 820172 03551</w:t>
            </w:r>
            <w:r w:rsidR="009F72DE">
              <w:rPr>
                <w:rFonts w:ascii="Times New Roman" w:hAnsi="Times New Roman"/>
                <w:sz w:val="22"/>
                <w:szCs w:val="22"/>
              </w:rPr>
              <w:t>19031</w:t>
            </w:r>
            <w:r w:rsidRPr="00DA66C1">
              <w:rPr>
                <w:rFonts w:ascii="Times New Roman" w:hAnsi="Times New Roman"/>
                <w:sz w:val="22"/>
                <w:szCs w:val="22"/>
              </w:rPr>
              <w:t>0</w:t>
            </w:r>
            <w:r w:rsidR="009F72DE">
              <w:rPr>
                <w:rFonts w:ascii="Times New Roman" w:hAnsi="Times New Roman"/>
                <w:sz w:val="22"/>
                <w:szCs w:val="22"/>
              </w:rPr>
              <w:t>63023240</w:t>
            </w:r>
            <w:r w:rsidR="00D744C1" w:rsidRPr="00DA66C1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744C1" w:rsidRDefault="00DA66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A66C1">
              <w:rPr>
                <w:rFonts w:ascii="Times New Roman" w:hAnsi="Times New Roman"/>
                <w:sz w:val="22"/>
                <w:szCs w:val="22"/>
              </w:rPr>
              <w:t>р/р № UA 30 820172 0355129031082023240</w:t>
            </w:r>
            <w:r w:rsidR="00D744C1" w:rsidRPr="001765E9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України, код ЄДР</w:t>
            </w:r>
            <w:r w:rsidR="00D744C1">
              <w:rPr>
                <w:rFonts w:ascii="Times New Roman" w:hAnsi="Times New Roman"/>
                <w:bCs/>
                <w:sz w:val="22"/>
                <w:szCs w:val="22"/>
              </w:rPr>
              <w:t>ПОУ отримувача коштів 36359583</w:t>
            </w:r>
          </w:p>
        </w:tc>
      </w:tr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bookmarkStart w:id="0" w:name="_GoBack"/>
            <w:bookmarkEnd w:id="0"/>
            <w:r w:rsidR="009F72DE" w:rsidRPr="00DA66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2DE">
              <w:rPr>
                <w:rFonts w:ascii="Times New Roman" w:hAnsi="Times New Roman"/>
                <w:sz w:val="22"/>
                <w:szCs w:val="22"/>
              </w:rPr>
              <w:t>27</w:t>
            </w:r>
            <w:r w:rsidR="009F72DE" w:rsidRPr="00DA66C1">
              <w:rPr>
                <w:rFonts w:ascii="Times New Roman" w:hAnsi="Times New Roman"/>
                <w:sz w:val="22"/>
                <w:szCs w:val="22"/>
              </w:rPr>
              <w:t xml:space="preserve"> 820172 03551</w:t>
            </w:r>
            <w:r w:rsidR="009F72DE">
              <w:rPr>
                <w:rFonts w:ascii="Times New Roman" w:hAnsi="Times New Roman"/>
                <w:sz w:val="22"/>
                <w:szCs w:val="22"/>
              </w:rPr>
              <w:t>19031</w:t>
            </w:r>
            <w:r w:rsidR="009F72DE" w:rsidRPr="00DA66C1">
              <w:rPr>
                <w:rFonts w:ascii="Times New Roman" w:hAnsi="Times New Roman"/>
                <w:sz w:val="22"/>
                <w:szCs w:val="22"/>
              </w:rPr>
              <w:t>0</w:t>
            </w:r>
            <w:r w:rsidR="009F72DE">
              <w:rPr>
                <w:rFonts w:ascii="Times New Roman" w:hAnsi="Times New Roman"/>
                <w:sz w:val="22"/>
                <w:szCs w:val="22"/>
              </w:rPr>
              <w:t>63023240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04" w:rsidRDefault="00EE7804">
      <w:r>
        <w:separator/>
      </w:r>
    </w:p>
  </w:endnote>
  <w:endnote w:type="continuationSeparator" w:id="0">
    <w:p w:rsidR="00EE7804" w:rsidRDefault="00E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04" w:rsidRDefault="00EE7804">
      <w:r>
        <w:separator/>
      </w:r>
    </w:p>
  </w:footnote>
  <w:footnote w:type="continuationSeparator" w:id="0">
    <w:p w:rsidR="00EE7804" w:rsidRDefault="00EE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9F72DE">
      <w:rPr>
        <w:noProof/>
        <w:sz w:val="10"/>
        <w:szCs w:val="10"/>
      </w:rPr>
      <w:t>20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04C59"/>
    <w:rsid w:val="001110A5"/>
    <w:rsid w:val="0012192D"/>
    <w:rsid w:val="00137C1C"/>
    <w:rsid w:val="001E26A4"/>
    <w:rsid w:val="001E590C"/>
    <w:rsid w:val="001E765F"/>
    <w:rsid w:val="00204E66"/>
    <w:rsid w:val="0022434D"/>
    <w:rsid w:val="00226830"/>
    <w:rsid w:val="002327D6"/>
    <w:rsid w:val="00243BC6"/>
    <w:rsid w:val="00275A25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419DD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E1435"/>
    <w:rsid w:val="007F513D"/>
    <w:rsid w:val="008736ED"/>
    <w:rsid w:val="008809FF"/>
    <w:rsid w:val="00896808"/>
    <w:rsid w:val="00897CFF"/>
    <w:rsid w:val="008A49BE"/>
    <w:rsid w:val="008B1ADA"/>
    <w:rsid w:val="00925466"/>
    <w:rsid w:val="009334F8"/>
    <w:rsid w:val="00944727"/>
    <w:rsid w:val="009600E9"/>
    <w:rsid w:val="00980DC2"/>
    <w:rsid w:val="009D5170"/>
    <w:rsid w:val="009F3CE3"/>
    <w:rsid w:val="009F72DE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77BF8"/>
    <w:rsid w:val="00B91D85"/>
    <w:rsid w:val="00BB359C"/>
    <w:rsid w:val="00BB3A49"/>
    <w:rsid w:val="00BE48BD"/>
    <w:rsid w:val="00BF06AF"/>
    <w:rsid w:val="00BF24D8"/>
    <w:rsid w:val="00C2465D"/>
    <w:rsid w:val="00C26FFA"/>
    <w:rsid w:val="00C33CE2"/>
    <w:rsid w:val="00C37B57"/>
    <w:rsid w:val="00C64CB1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A66C1"/>
    <w:rsid w:val="00DD60E2"/>
    <w:rsid w:val="00E07421"/>
    <w:rsid w:val="00E36A1F"/>
    <w:rsid w:val="00E9558F"/>
    <w:rsid w:val="00EA1947"/>
    <w:rsid w:val="00EC6266"/>
    <w:rsid w:val="00EE05E3"/>
    <w:rsid w:val="00EE7804"/>
    <w:rsid w:val="00F21E86"/>
    <w:rsid w:val="00F23005"/>
    <w:rsid w:val="00F45BDF"/>
    <w:rsid w:val="00F47B8D"/>
    <w:rsid w:val="00F775F9"/>
    <w:rsid w:val="00F82B8A"/>
    <w:rsid w:val="00F930C4"/>
    <w:rsid w:val="00F9421B"/>
    <w:rsid w:val="00FA4036"/>
    <w:rsid w:val="00FD3637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20</Pages>
  <Words>31462</Words>
  <Characters>17934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2020-11-24T13:45:00Z</cp:lastPrinted>
  <dcterms:created xsi:type="dcterms:W3CDTF">2020-11-16T10:01:00Z</dcterms:created>
  <dcterms:modified xsi:type="dcterms:W3CDTF">2021-01-19T15:03:00Z</dcterms:modified>
</cp:coreProperties>
</file>