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10955"/>
      </w:tblGrid>
      <w:tr w:rsidR="007120A4" w:rsidRPr="00FE38B6" w:rsidTr="00EF43C2">
        <w:trPr>
          <w:cantSplit/>
          <w:trHeight w:val="2122"/>
        </w:trPr>
        <w:tc>
          <w:tcPr>
            <w:tcW w:w="4496" w:type="dxa"/>
          </w:tcPr>
          <w:p w:rsidR="007120A4" w:rsidRPr="00FE38B6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EF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умови продажу об’єкта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955" w:type="dxa"/>
          </w:tcPr>
          <w:p w:rsidR="00EF43C2" w:rsidRDefault="00EF43C2" w:rsidP="00EF43C2">
            <w:pPr>
              <w:pStyle w:val="a3"/>
              <w:numPr>
                <w:ilvl w:val="0"/>
                <w:numId w:val="2"/>
              </w:numPr>
              <w:ind w:left="57" w:firstLine="510"/>
              <w:rPr>
                <w:szCs w:val="24"/>
              </w:rPr>
            </w:pPr>
            <w:r w:rsidRPr="008A1A9A">
              <w:rPr>
                <w:color w:val="000000"/>
              </w:rPr>
              <w:t xml:space="preserve">збереження договірних відносин, тому згідно з </w:t>
            </w:r>
            <w:r w:rsidRPr="008A1A9A">
              <w:rPr>
                <w:szCs w:val="24"/>
              </w:rPr>
              <w:t>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  <w:p w:rsidR="00EF43C2" w:rsidRDefault="00EF43C2" w:rsidP="00EF43C2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bookmarkStart w:id="1" w:name="_Hlk71702781"/>
            <w:r>
              <w:rPr>
                <w:szCs w:val="24"/>
              </w:rPr>
              <w:t>Використання земельної ділянки за призначенням.</w:t>
            </w:r>
          </w:p>
          <w:bookmarkEnd w:id="1"/>
          <w:p w:rsidR="00EF43C2" w:rsidRPr="00EF43C2" w:rsidRDefault="00EF43C2" w:rsidP="00EF43C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7"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EF43C2" w:rsidRPr="00AC6071" w:rsidRDefault="00EF43C2" w:rsidP="00EF43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EF43C2" w:rsidRPr="00AC6071" w:rsidRDefault="00EF43C2" w:rsidP="00EF43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7120A4" w:rsidRPr="00FE38B6" w:rsidRDefault="00EF43C2" w:rsidP="00EF43C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державної адміністрації (м. Харків, вул. Сумська, 76).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</w:t>
            </w:r>
            <w:r w:rsidR="00FE38B6"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120A4" w:rsidRPr="00FE38B6" w:rsidTr="00EF43C2">
        <w:trPr>
          <w:cantSplit/>
          <w:trHeight w:val="1005"/>
        </w:trPr>
        <w:tc>
          <w:tcPr>
            <w:tcW w:w="4496" w:type="dxa"/>
          </w:tcPr>
          <w:p w:rsidR="007120A4" w:rsidRPr="00EF43C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10955" w:type="dxa"/>
          </w:tcPr>
          <w:p w:rsidR="007120A4" w:rsidRPr="00EF43C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EF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</w:tbl>
    <w:p w:rsidR="007120A4" w:rsidRPr="00FE38B6" w:rsidRDefault="007120A4">
      <w:pPr>
        <w:rPr>
          <w:sz w:val="24"/>
          <w:szCs w:val="24"/>
          <w:lang w:val="uk-UA"/>
        </w:rPr>
      </w:pPr>
    </w:p>
    <w:sectPr w:rsidR="007120A4" w:rsidRPr="00FE38B6" w:rsidSect="00FE38B6">
      <w:pgSz w:w="16838" w:h="11906" w:orient="landscape"/>
      <w:pgMar w:top="851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001C7"/>
    <w:multiLevelType w:val="hybridMultilevel"/>
    <w:tmpl w:val="D52A2A2C"/>
    <w:lvl w:ilvl="0" w:tplc="BD76DF0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5D64D9"/>
    <w:rsid w:val="007120A4"/>
    <w:rsid w:val="00CE54E9"/>
    <w:rsid w:val="00E86EAE"/>
    <w:rsid w:val="00EF43C2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E38B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E38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F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1554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2021-06-01T13:17:00Z</dcterms:created>
  <dcterms:modified xsi:type="dcterms:W3CDTF">2021-06-01T13:17:00Z</dcterms:modified>
</cp:coreProperties>
</file>