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6253C3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916AD4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4B67DF" w:rsidRPr="006253C3">
        <w:rPr>
          <w:rFonts w:ascii="Times New Roman" w:eastAsia="Times New Roman" w:hAnsi="Times New Roman" w:cs="Times New Roman"/>
          <w:b/>
          <w:lang w:eastAsia="ru-RU"/>
        </w:rPr>
        <w:t> </w:t>
      </w:r>
      <w:r w:rsidR="00132355" w:rsidRPr="00916A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132355" w:rsidRPr="00916AD4">
        <w:rPr>
          <w:b/>
          <w:sz w:val="28"/>
          <w:szCs w:val="28"/>
          <w:lang w:val="uk-UA"/>
        </w:rPr>
        <w:t xml:space="preserve">Приміщення №№ 16, 17, частина приміщення І  (20,2 </w:t>
      </w:r>
      <w:proofErr w:type="spellStart"/>
      <w:r w:rsidR="00132355" w:rsidRPr="00916AD4">
        <w:rPr>
          <w:b/>
          <w:sz w:val="28"/>
          <w:szCs w:val="28"/>
          <w:lang w:val="uk-UA"/>
        </w:rPr>
        <w:t>кв.м</w:t>
      </w:r>
      <w:proofErr w:type="spellEnd"/>
      <w:r w:rsidR="00132355" w:rsidRPr="00916AD4">
        <w:rPr>
          <w:b/>
          <w:sz w:val="28"/>
          <w:szCs w:val="28"/>
          <w:lang w:val="uk-UA"/>
        </w:rPr>
        <w:t>) на третьому поверсі поліклініки.»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Об’єкт оренди знаходиться за адресою: </w:t>
            </w:r>
            <w:r w:rsidRPr="004322CA">
              <w:rPr>
                <w:rFonts w:ascii="Times New Roman" w:hAnsi="Times New Roman" w:cs="Times New Roman"/>
                <w:lang w:val="uk-UA"/>
              </w:rPr>
              <w:t>Харківська облас</w:t>
            </w:r>
            <w:r w:rsidR="00991BEF">
              <w:rPr>
                <w:rFonts w:ascii="Times New Roman" w:hAnsi="Times New Roman" w:cs="Times New Roman"/>
                <w:lang w:val="uk-UA"/>
              </w:rPr>
              <w:t xml:space="preserve">ть, Красноград, </w:t>
            </w:r>
            <w:proofErr w:type="spellStart"/>
            <w:r w:rsidR="00991BEF">
              <w:rPr>
                <w:rFonts w:ascii="Times New Roman" w:hAnsi="Times New Roman" w:cs="Times New Roman"/>
                <w:lang w:val="uk-UA"/>
              </w:rPr>
              <w:t>вул.Шиндлера</w:t>
            </w:r>
            <w:proofErr w:type="spellEnd"/>
            <w:r w:rsidR="00991BEF">
              <w:rPr>
                <w:rFonts w:ascii="Times New Roman" w:hAnsi="Times New Roman" w:cs="Times New Roman"/>
                <w:lang w:val="uk-UA"/>
              </w:rPr>
              <w:t xml:space="preserve"> 87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Красноградської районної ради від 20 серпня 2020 року № 1371-</w:t>
            </w:r>
            <w:r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Pr="004322CA">
              <w:rPr>
                <w:rFonts w:ascii="Times New Roman" w:hAnsi="Times New Roman" w:cs="Times New Roman"/>
              </w:rPr>
              <w:t>.</w:t>
            </w:r>
          </w:p>
          <w:p w:rsidR="0064193C" w:rsidRDefault="00650795" w:rsidP="0064193C">
            <w:pPr>
              <w:spacing w:after="0" w:line="240" w:lineRule="auto"/>
              <w:jc w:val="both"/>
            </w:pPr>
            <w:r w:rsidRPr="006507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додаткові умови оренди:</w:t>
            </w:r>
            <w:r w:rsidRPr="00650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заходів та заходів цивільної безпеки відповідно до вимог чинного законодавства України.</w:t>
            </w:r>
          </w:p>
          <w:p w:rsidR="0064193C" w:rsidRPr="0064193C" w:rsidRDefault="0064193C" w:rsidP="0064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використання</w:t>
            </w:r>
            <w:proofErr w:type="spellEnd"/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майна для здійснення приватної медичної практики у сфері стоматології;</w:t>
            </w:r>
          </w:p>
          <w:p w:rsidR="0064193C" w:rsidRPr="0064193C" w:rsidRDefault="0064193C" w:rsidP="0064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ab/>
              <w:t>наявність досвіду роботи потенційного орендаря у сфері стоматології не менше як три роки, або наявність трудових відносин з працівниками, які мають досвід роботи у сфері стоматології не менше як три роки;</w:t>
            </w:r>
          </w:p>
          <w:p w:rsidR="0064193C" w:rsidRPr="0064193C" w:rsidRDefault="0064193C" w:rsidP="0064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ab/>
              <w:t>дотримання належних умов утримання та вимог щодо експлуатації майна;</w:t>
            </w:r>
          </w:p>
          <w:p w:rsidR="00650795" w:rsidRPr="00650795" w:rsidRDefault="0064193C" w:rsidP="0064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ab/>
              <w:t xml:space="preserve">компенсація витрат </w:t>
            </w:r>
            <w:proofErr w:type="spellStart"/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пр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оведення оцінки майна в розмірі </w:t>
            </w:r>
            <w:r w:rsidRPr="00641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863,25 грн</w:t>
            </w:r>
            <w:bookmarkStart w:id="0" w:name="_GoBack"/>
            <w:bookmarkEnd w:id="0"/>
          </w:p>
          <w:p w:rsidR="004B67DF" w:rsidRPr="004322CA" w:rsidRDefault="004B67DF" w:rsidP="0030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91BE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,2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91BEF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08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жовтня 2020 року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плата, грн.,</w:t>
            </w:r>
            <w:r w:rsidR="00991BE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877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877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1380,54</w:t>
            </w: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1.Орендар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B7474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2761,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</w:p>
          <w:p w:rsidR="004B67DF" w:rsidRPr="004322CA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4B67DF" w:rsidRPr="00264027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Мінімальний к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4B67DF" w:rsidRPr="004322CA" w:rsidRDefault="00991BE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13.85</w:t>
            </w:r>
            <w:r w:rsidR="00CF6E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</w:t>
            </w:r>
            <w:proofErr w:type="gramStart"/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Законом України «Про оренду державного та комунального майна» від 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Pr="004322CA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2019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6F538F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Надання медичних послуг</w:t>
            </w:r>
          </w:p>
        </w:tc>
      </w:tr>
      <w:tr w:rsidR="004B67DF" w:rsidRPr="00264027" w:rsidTr="00C831FF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такими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F538F" w:rsidRPr="006F538F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F538F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      </w:r>
          </w:p>
        </w:tc>
      </w:tr>
      <w:tr w:rsidR="004B67DF" w:rsidRPr="00264027" w:rsidTr="00C831F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B67DF" w:rsidRPr="00264027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4B67DF" w:rsidRPr="00264027" w:rsidTr="00C831FF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322CA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м.Красноград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87</w:t>
            </w: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 0954879928, код за ЄДРПОУ 02002701, juliaovs28@ukr.net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Реквізити для перерахування внесків:</w:t>
            </w:r>
          </w:p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B07A5C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КНП «Красноградська ЦРЛ»</w:t>
            </w:r>
          </w:p>
          <w:p w:rsidR="004B67DF" w:rsidRPr="004322CA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B07A5C" w:rsidRPr="00DD594E">
              <w:rPr>
                <w:lang w:val="uk-UA"/>
              </w:rPr>
              <w:t>UA458201720344391001100022442</w:t>
            </w:r>
            <w:r w:rsidR="00B07A5C"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B67DF" w:rsidRPr="00E02042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</w:t>
            </w:r>
            <w:r w:rsidR="00E02042">
              <w:rPr>
                <w:rFonts w:ascii="Times New Roman" w:hAnsi="Times New Roman" w:cs="Times New Roman"/>
                <w:color w:val="000000"/>
              </w:rPr>
              <w:t>вача</w:t>
            </w:r>
            <w:proofErr w:type="spellEnd"/>
            <w:r w:rsidR="00E0204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 xml:space="preserve">ДКСУ в </w:t>
            </w:r>
            <w:proofErr w:type="spellStart"/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>м.Києві</w:t>
            </w:r>
            <w:proofErr w:type="spellEnd"/>
            <w:r w:rsidR="00B07A5C">
              <w:rPr>
                <w:rFonts w:ascii="Times New Roman" w:hAnsi="Times New Roman" w:cs="Times New Roman"/>
                <w:color w:val="000000"/>
                <w:lang w:val="uk-UA"/>
              </w:rPr>
              <w:t xml:space="preserve"> МФО 820172</w:t>
            </w:r>
          </w:p>
          <w:p w:rsidR="004B67DF" w:rsidRPr="00E02042" w:rsidRDefault="00E02042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02002701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322CA" w:rsidRDefault="004B67DF" w:rsidP="00C831FF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 xml:space="preserve">Розпорядок роботи: понеділок – </w:t>
            </w:r>
            <w:proofErr w:type="spellStart"/>
            <w:r w:rsidRPr="004322CA">
              <w:rPr>
                <w:bCs/>
                <w:sz w:val="22"/>
                <w:szCs w:val="22"/>
                <w:lang w:val="uk-UA"/>
              </w:rPr>
              <w:t>четверг</w:t>
            </w:r>
            <w:proofErr w:type="spellEnd"/>
            <w:r w:rsidRPr="004322CA">
              <w:rPr>
                <w:bCs/>
                <w:sz w:val="22"/>
                <w:szCs w:val="22"/>
                <w:lang w:val="uk-UA"/>
              </w:rPr>
              <w:t xml:space="preserve">  з 8.00 – </w:t>
            </w:r>
            <w:r w:rsidR="004B39CC">
              <w:rPr>
                <w:bCs/>
                <w:sz w:val="22"/>
                <w:szCs w:val="22"/>
                <w:lang w:val="uk-UA"/>
              </w:rPr>
              <w:t>до 16.30 (за київським часом), з 12.00 до 12.30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4B67DF" w:rsidRPr="00264027" w:rsidRDefault="004B67DF" w:rsidP="004B6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12C" w:rsidRDefault="00F6612C"/>
    <w:sectPr w:rsidR="00F6612C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132355"/>
    <w:rsid w:val="003021F3"/>
    <w:rsid w:val="004B39CC"/>
    <w:rsid w:val="004B67DF"/>
    <w:rsid w:val="006253C3"/>
    <w:rsid w:val="0064193C"/>
    <w:rsid w:val="00650795"/>
    <w:rsid w:val="006F538F"/>
    <w:rsid w:val="008877EB"/>
    <w:rsid w:val="00916AD4"/>
    <w:rsid w:val="00991BEF"/>
    <w:rsid w:val="00B07A5C"/>
    <w:rsid w:val="00B74743"/>
    <w:rsid w:val="00CF6E91"/>
    <w:rsid w:val="00E02042"/>
    <w:rsid w:val="00ED6D21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dcterms:created xsi:type="dcterms:W3CDTF">2020-09-21T07:56:00Z</dcterms:created>
  <dcterms:modified xsi:type="dcterms:W3CDTF">2020-09-22T12:17:00Z</dcterms:modified>
</cp:coreProperties>
</file>