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43FAFA82" w:rsidR="002D03C6" w:rsidRPr="00F6068E" w:rsidRDefault="006F66D3"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3D1306BE"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FC7892" w:rsidRPr="00FC7892">
        <w:rPr>
          <w:rFonts w:ascii="Times New Roman" w:hAnsi="Times New Roman" w:cs="Times New Roman"/>
          <w:sz w:val="28"/>
          <w:szCs w:val="28"/>
          <w:lang w:val="uk-UA"/>
        </w:rPr>
        <w:t>0,011</w:t>
      </w:r>
      <w:r w:rsidR="00FC7892">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FC7892">
        <w:rPr>
          <w:sz w:val="28"/>
          <w:lang w:val="uk-UA"/>
        </w:rPr>
        <w:t>одинадцять</w:t>
      </w:r>
      <w:r w:rsidR="00F062D4">
        <w:rPr>
          <w:sz w:val="28"/>
          <w:lang w:val="uk-UA"/>
        </w:rPr>
        <w:t xml:space="preserve">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683468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D7D24">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74AD5618"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6F66D3">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21FCB47C"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6F66D3">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4A0F186E" w14:textId="76A4C6D2" w:rsidR="00326C2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4D6549AA" w14:textId="2A6C54F6"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bookmarkStart w:id="0" w:name="_GoBack"/>
                  <w:bookmarkEnd w:id="0"/>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357AA9A" w:rsidR="00997C13" w:rsidRPr="009E5A80" w:rsidRDefault="000E1BA0" w:rsidP="00024368">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0C150B">
              <w:rPr>
                <w:rFonts w:cstheme="minorHAnsi"/>
                <w:lang w:val="uk-UA"/>
              </w:rPr>
              <w:t>3</w:t>
            </w:r>
            <w:r w:rsidR="00024368">
              <w:rPr>
                <w:rFonts w:cstheme="minorHAnsi"/>
                <w:lang w:val="uk-UA"/>
              </w:rPr>
              <w:t>56</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6AB49FF7" w:rsidR="00997C13" w:rsidRPr="009E5A80" w:rsidRDefault="00FC7892" w:rsidP="00424142">
            <w:pPr>
              <w:jc w:val="center"/>
              <w:rPr>
                <w:rFonts w:ascii="Times New Roman" w:hAnsi="Times New Roman" w:cs="Times New Roman"/>
                <w:sz w:val="28"/>
                <w:szCs w:val="28"/>
                <w:lang w:val="uk-UA" w:eastAsia="en-US"/>
              </w:rPr>
            </w:pPr>
            <w:r w:rsidRPr="00FC7892">
              <w:rPr>
                <w:sz w:val="28"/>
                <w:lang w:val="uk-UA"/>
              </w:rPr>
              <w:t>0,011</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67AAD39" w:rsidR="00997C13" w:rsidRPr="004650B1" w:rsidRDefault="00FC7892" w:rsidP="00424142">
            <w:pPr>
              <w:jc w:val="center"/>
              <w:rPr>
                <w:rFonts w:ascii="Times New Roman" w:hAnsi="Times New Roman" w:cs="Times New Roman"/>
                <w:sz w:val="28"/>
                <w:szCs w:val="28"/>
                <w:lang w:val="uk-UA" w:eastAsia="en-US"/>
              </w:rPr>
            </w:pPr>
            <w:r w:rsidRPr="00FC7892">
              <w:rPr>
                <w:sz w:val="28"/>
                <w:szCs w:val="28"/>
                <w:lang w:val="uk-UA"/>
              </w:rPr>
              <w:t>0,011</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0850"/>
    <w:bookmarkEnd w:id="2"/>
    <w:p w14:paraId="2918517B" w14:textId="7690AD4B" w:rsidR="00613FDA" w:rsidRPr="00F6068E" w:rsidRDefault="006F66D3"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9870869" r:id="rId9"/>
        </w:object>
      </w:r>
    </w:p>
    <w:p w14:paraId="50E5A596" w14:textId="257E1467"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6F66D3"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9870870"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FA82B" w14:textId="77777777" w:rsidR="00BB574C" w:rsidRDefault="00BB574C" w:rsidP="00895BF0">
      <w:r>
        <w:separator/>
      </w:r>
    </w:p>
  </w:endnote>
  <w:endnote w:type="continuationSeparator" w:id="0">
    <w:p w14:paraId="0E96BF82" w14:textId="77777777" w:rsidR="00BB574C" w:rsidRDefault="00BB574C" w:rsidP="00895BF0">
      <w:r>
        <w:continuationSeparator/>
      </w:r>
    </w:p>
  </w:endnote>
  <w:endnote w:type="continuationNotice" w:id="1">
    <w:p w14:paraId="7DEE8DD8" w14:textId="77777777" w:rsidR="00BB574C" w:rsidRDefault="00BB5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6F66D3">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C00B6" w14:textId="77777777" w:rsidR="00BB574C" w:rsidRDefault="00BB574C" w:rsidP="00895BF0">
      <w:r>
        <w:separator/>
      </w:r>
    </w:p>
  </w:footnote>
  <w:footnote w:type="continuationSeparator" w:id="0">
    <w:p w14:paraId="6FCAE6A1" w14:textId="77777777" w:rsidR="00BB574C" w:rsidRDefault="00BB574C" w:rsidP="00895BF0">
      <w:r>
        <w:continuationSeparator/>
      </w:r>
    </w:p>
  </w:footnote>
  <w:footnote w:type="continuationNotice" w:id="1">
    <w:p w14:paraId="25587B4C" w14:textId="77777777" w:rsidR="00BB574C" w:rsidRDefault="00BB57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368"/>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AB9"/>
    <w:rsid w:val="004C2EC0"/>
    <w:rsid w:val="004C44B4"/>
    <w:rsid w:val="004C4906"/>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6D3"/>
    <w:rsid w:val="006F6A10"/>
    <w:rsid w:val="007001D7"/>
    <w:rsid w:val="00702219"/>
    <w:rsid w:val="00704E0F"/>
    <w:rsid w:val="00707DC6"/>
    <w:rsid w:val="007108DB"/>
    <w:rsid w:val="00712DEC"/>
    <w:rsid w:val="00717C0E"/>
    <w:rsid w:val="007200FF"/>
    <w:rsid w:val="00721C6A"/>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D24"/>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B7F7C"/>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0E10"/>
    <w:rsid w:val="009D3081"/>
    <w:rsid w:val="009D3557"/>
    <w:rsid w:val="009D53E2"/>
    <w:rsid w:val="009D618C"/>
    <w:rsid w:val="009D65B0"/>
    <w:rsid w:val="009E0059"/>
    <w:rsid w:val="009E1ECD"/>
    <w:rsid w:val="009E5A80"/>
    <w:rsid w:val="009F2607"/>
    <w:rsid w:val="009F2D37"/>
    <w:rsid w:val="009F5823"/>
    <w:rsid w:val="009F6437"/>
    <w:rsid w:val="009F754F"/>
    <w:rsid w:val="009F7A33"/>
    <w:rsid w:val="009F7BD6"/>
    <w:rsid w:val="00A00CEE"/>
    <w:rsid w:val="00A03CBC"/>
    <w:rsid w:val="00A04F31"/>
    <w:rsid w:val="00A10967"/>
    <w:rsid w:val="00A121C8"/>
    <w:rsid w:val="00A1487F"/>
    <w:rsid w:val="00A21469"/>
    <w:rsid w:val="00A24B58"/>
    <w:rsid w:val="00A350DD"/>
    <w:rsid w:val="00A37A69"/>
    <w:rsid w:val="00A40046"/>
    <w:rsid w:val="00A4216E"/>
    <w:rsid w:val="00A44340"/>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0A71"/>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35E7"/>
    <w:rsid w:val="00B54A09"/>
    <w:rsid w:val="00B54C17"/>
    <w:rsid w:val="00B601A3"/>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574C"/>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3434F"/>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EAA"/>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62D4"/>
    <w:rsid w:val="00F078F6"/>
    <w:rsid w:val="00F1153E"/>
    <w:rsid w:val="00F14F99"/>
    <w:rsid w:val="00F15049"/>
    <w:rsid w:val="00F17F86"/>
    <w:rsid w:val="00F20158"/>
    <w:rsid w:val="00F2175D"/>
    <w:rsid w:val="00F21A1C"/>
    <w:rsid w:val="00F25069"/>
    <w:rsid w:val="00F25A76"/>
    <w:rsid w:val="00F318A1"/>
    <w:rsid w:val="00F32B4A"/>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C7892"/>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58D3F-6696-4CD6-9FF2-D81F658C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4039</Words>
  <Characters>23028</Characters>
  <Application>Microsoft Office Word</Application>
  <DocSecurity>0</DocSecurity>
  <Lines>191</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4</cp:revision>
  <cp:lastPrinted>2019-08-09T08:10:00Z</cp:lastPrinted>
  <dcterms:created xsi:type="dcterms:W3CDTF">2019-08-15T09:52:00Z</dcterms:created>
  <dcterms:modified xsi:type="dcterms:W3CDTF">2019-09-13T06:03:00Z</dcterms:modified>
</cp:coreProperties>
</file>