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12"/>
      </w:tblGrid>
      <w:tr w:rsidR="002307B6" w:rsidRPr="002307B6" w:rsidTr="0023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7B6" w:rsidRPr="002307B6" w:rsidRDefault="002307B6" w:rsidP="002307B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Категорія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справи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№ </w:t>
            </w:r>
          </w:p>
          <w:p w:rsidR="002307B6" w:rsidRPr="002307B6" w:rsidRDefault="002307B6" w:rsidP="002307B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  <w:r w:rsidRPr="002307B6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Початок форми</w:t>
            </w:r>
          </w:p>
          <w:p w:rsidR="002307B6" w:rsidRPr="002307B6" w:rsidRDefault="002307B6" w:rsidP="002307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hyperlink r:id="rId4" w:tooltip="Натисніть для перегляду всіх судових рішень по справі" w:history="1">
              <w:r w:rsidRPr="002307B6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val="ru-RU" w:eastAsia="ru-RU"/>
                </w:rPr>
                <w:t>922/2250/16</w:t>
              </w:r>
            </w:hyperlink>
          </w:p>
          <w:p w:rsidR="002307B6" w:rsidRPr="002307B6" w:rsidRDefault="002307B6" w:rsidP="002307B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  <w:r w:rsidRPr="002307B6"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  <w:t>Кінець форми</w:t>
            </w:r>
          </w:p>
          <w:p w:rsidR="002307B6" w:rsidRPr="002307B6" w:rsidRDefault="002307B6" w:rsidP="002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: не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визначено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2307B6" w:rsidRPr="002307B6" w:rsidTr="0023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7B6" w:rsidRPr="002307B6" w:rsidRDefault="002307B6" w:rsidP="002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Надіслано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судом: </w:t>
            </w: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19.04.2017.</w:t>
            </w:r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Зареєстровано: </w:t>
            </w: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20.04.2017.</w:t>
            </w:r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Оприлюднено: </w:t>
            </w: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24.04.2017.</w:t>
            </w:r>
          </w:p>
        </w:tc>
      </w:tr>
      <w:tr w:rsidR="002307B6" w:rsidRPr="002307B6" w:rsidTr="0023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7B6" w:rsidRPr="002307B6" w:rsidRDefault="002307B6" w:rsidP="002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Дата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набрання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законної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сили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</w:t>
            </w: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12.04.2017</w:t>
            </w:r>
          </w:p>
        </w:tc>
      </w:tr>
      <w:tr w:rsidR="002307B6" w:rsidRPr="002307B6" w:rsidTr="002307B6">
        <w:trPr>
          <w:tblCellSpacing w:w="0" w:type="dxa"/>
        </w:trPr>
        <w:tc>
          <w:tcPr>
            <w:tcW w:w="0" w:type="auto"/>
            <w:vAlign w:val="center"/>
            <w:hideMark/>
          </w:tcPr>
          <w:p w:rsidR="002307B6" w:rsidRPr="002307B6" w:rsidRDefault="002307B6" w:rsidP="00230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судового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провадження</w:t>
            </w:r>
            <w:proofErr w:type="spellEnd"/>
            <w:r w:rsidRPr="002307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 </w:t>
            </w:r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 w:rsidRPr="00230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визначено</w:t>
            </w:r>
            <w:proofErr w:type="spellEnd"/>
          </w:p>
        </w:tc>
      </w:tr>
    </w:tbl>
    <w:p w:rsidR="002307B6" w:rsidRPr="002307B6" w:rsidRDefault="002307B6" w:rsidP="00230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307B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rect id="_x0000_i1025" style="width:0;height:1.5pt" o:hralign="center" o:hrstd="t" o:hrnoshade="t" o:hr="t" fillcolor="black" stroked="f"/>
        </w:pict>
      </w:r>
    </w:p>
    <w:p w:rsidR="002307B6" w:rsidRPr="002307B6" w:rsidRDefault="002307B6" w:rsidP="002307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ru-RU"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1" name="Прямокутник 1" descr="Державний герб Україн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B33C28" id="Прямокутник 1" o:spid="_x0000_s1026" alt="Державний герб України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A5&#10;D1V6/AIAAPcFAAAOAAAAAAAAAAAAAAAAAC4CAABkcnMvZTJvRG9jLnhtbFBLAQItABQABgAIAAAA&#10;IQACnVV42QAAAAMBAAAPAAAAAAAAAAAAAAAAAFY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ГОСПОДАРСЬКИЙ СУД ХАРКІВСЬКОЇ ОБЛАСТІ</w: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Держпром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8-й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під'їзд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майдан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Свободи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5, м.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61022,  </w: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тел.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приймальня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(057) 715-77-21, тел.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канцелярія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705-14-41, факс 705-14-41</w: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_________________________________________________________________________</w: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УХВАЛА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"12"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квітня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2017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р.Справа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судді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Швидкіна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А.О.  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при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секретарі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судового  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Трофименко С.В.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участю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сторін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: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: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Шабас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Г.В.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представника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 :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Бєляєва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О.В.,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10.04.2017 року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розглянувши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"Оптово-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"Оптово-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  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банкрутом</w:t>
      </w:r>
      <w:proofErr w:type="spellEnd"/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ВСТАНОВИВ: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Постановою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01.08.2016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"Оптово-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відкрито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процедуру,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голову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комісії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Шабаса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Геннадія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Вікторовича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зобов'язано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виконати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докази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01.09.2016 року до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надійшла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41926808,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30  грн.</w:t>
      </w:r>
      <w:proofErr w:type="gramEnd"/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Вищезазначена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була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розгляду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судове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відбулося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оскільки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№922/2250/16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були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направлені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апеляційного</w:t>
      </w:r>
      <w:proofErr w:type="spellEnd"/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 суду,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зв`язку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надходженням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апеляційної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скарги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Публічного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АТ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Європейський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газовий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банк" на постанову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"01"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серпня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2016 року.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апеляційного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24.11.2016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апеляційну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скаргу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Публічного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акціонерного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Європейський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газовий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банк"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особі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Уповноваженої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особи Фонду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гарантування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вкладів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фізичних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осіб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залишено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постанову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01.08.2016р.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№922/2250/16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залишено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Постановою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28.02.2017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касаційну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скаргу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Публічного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акціонерного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Європейський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газовий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банк"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особі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Уповноваженої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особи Фонду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гарантування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вкладів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фізичних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осіб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Публічного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акціонерного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Європейський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газовий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банк" -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Оберемко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Р.А.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залишено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постанову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апеляційного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24.11.2016 та постанову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01.08.2016 по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залишено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без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16.03.2017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№ 922/2250/16 повернулись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Харківської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області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Ухвалою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20.03.2017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призначено</w:t>
      </w:r>
      <w:proofErr w:type="spellEnd"/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12.04.2017 року.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Присутній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судовому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представник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підтримав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надав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огляду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судовому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оригінали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документів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доданих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заяви.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  судовому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засіданні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повідомив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ним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повному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обсязі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включені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реєстру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"Оптово-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роздрібний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ринок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черговості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Розглянувши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матеріали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справи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ТОВ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заслухавши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пояснення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учасників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процесу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дослідивши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докази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сукупності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суд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наступне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офіційному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веб -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сайті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02.08.2016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було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оприлюднено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повідомлення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відкриття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ліквідаційної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№ 34108.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граничний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Хоспітеліті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  з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надійшла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суду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встановлені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ч.3 </w:t>
      </w:r>
      <w:hyperlink r:id="rId5" w:anchor="931016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ст. 95 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відновлення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платоспроможності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боржника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або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визнання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його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банкрутом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строки.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обґрунтування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заявлених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заявник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посилається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те,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begin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instrText xml:space="preserve"> HYPERLINK "http://search.ligazakon.ua/l_doc2.nsf/link1/an_5/ed_2015_07_16/pravo1/T012374.html?pravo=1" \l "5" \o "Про обіг векселів в Україні; нормативно-правовий акт № 2374-III від 05.04.2001" \t "_blank" </w:instrTex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separate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 Закону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обіг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</w: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end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законодавство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обіг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Женевської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конвенції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1930 року,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запроваджено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begin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instrText xml:space="preserve"> HYPERLINK "http://search.ligazakon.ua/l_doc2.nsf/link1/an_20911/ed_1930_06_07/pravo1/MU30K02U.html?pravo=1" \l "20911" \o "Конвенція, якою запроваджено Уніфікований закон про переказний та простий векселі" \t "_blank" </w:instrTex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separate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end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-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закон),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урахуванням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застережень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обумовлених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додатком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II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цієї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Конвенції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Женевської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конвенції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1930 року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врегулювання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деяких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колізій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Женевської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конвенції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1930 року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гербовий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збір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стосовно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і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6" w:tgtFrame="_blank" w:tooltip="Про цінні папери і фондову біржу; нормативно-правовий акт № 1201-XII від 18.06.1991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цінні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папери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і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фондову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біржу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7" w:tgtFrame="_blank" w:tooltip="Про приєднання України до Женевської конвенції 1930 року, якою запроваджено Уніфікований закон про переказні векселі та прості векселі; нормативно-правовий акт № 826-XIV від 06.07.1999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приєднання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до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Женевської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конвенції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1930 року,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якою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запроваджено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Уніфікований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закон 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переказні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та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8" w:tgtFrame="_blank" w:tooltip="Про приєднання України до Женевської конвенції 1930 року про врегулювання деяких колізій законів про переказні векселі та прості векселі; нормативно-правовий акт № 827-XIV від 06.07.1999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приєднання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до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Женевської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конвенції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1930 року 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врегулювання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деяких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колізій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законів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переказні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та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9" w:tgtFrame="_blank" w:tooltip="Про приєднання України до Женевської конвенції 1930 року про гербовий збір стосовно переказних векселів і простих векселів; нормативно-правовий акт № 828-XIV від 06.07.1999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приєднання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до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Женевської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конвенції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1930 року 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гербовий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збір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стосовно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переказних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векселів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і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простих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векселів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Закону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прийнятих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згідно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ними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актів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законодавства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hyperlink r:id="rId10" w:tgtFrame="_blank" w:tooltip="Про приєднання України до Женевської конвенції 1930 року, якою запроваджено Уніфікований закон про переказні векселі та прості векселі; нормативно-правовий акт № 826-XIV від 06.07.1999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Законом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від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06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липня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1999 р. «Про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приєднання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до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Женевської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конвенції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1930 року,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якою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запроваджено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Уніфікований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закон 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переказні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та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прості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векселі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»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вказано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приєднується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Женевської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конвенції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1930 р.,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запроваджено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begin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instrText xml:space="preserve"> HYPERLINK "http://search.ligazakon.ua/l_doc2.nsf/link1/an_20911/ed_1930_06_07/pravo1/MU30K02U.html?pravo=1" \l "20911" \o "Конвенція, якою запроваджено Уніфікований закон про переказний та простий векселі" \t "_blank" </w:instrTex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separate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end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ст. 77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вексельного закону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застосовуються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ж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стосуються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тією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мірою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вони є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сумісними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природою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документів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саме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: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індосаменту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11 - 20); строку платежу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33 - 37); платежу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38 - 42); права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регресу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неплатежу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43 - 50, 52 - 54); платежу у порядку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посередництва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55, 59 - 63);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копій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67 і 68);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69);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позовної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давності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70 і 71);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неробочих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обчислення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і заборони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пільгових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72, 73 і 74)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>Згідно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статей 33, 34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вексельного закону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виданий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таким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платежу: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;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дату.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містять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строки платежу,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передбачають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оплату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є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недійсними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оплаті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повинен бути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для платежу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протягом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одного року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його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Трасант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скоротити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цей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обумовити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більш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тривалий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можуть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скорочені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індосантами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Трасант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може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бути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пред'явленим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для платежу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раніше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.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цьому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для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починається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зазначеної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38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Уніфікованого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вексельного закону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держатель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переказного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строком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день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повинен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пред'явити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 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для платежу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день,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оплаті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або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один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із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двох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наступних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робочих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днів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43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вищезазначеного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закону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передбачає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регресу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трасанти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інших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зобов'язаних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осіб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трасата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векселем,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не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підлягає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акцепту.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Судом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встановлено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товариство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обмеженою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відповідальністю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на момент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припинення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ТзОВ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«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ОРР«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Жуляни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»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рішенням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власника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є векселедержателем простого векселя № 1050713  на суму 21078905,00 грн.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емітованого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простого векселя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наведеного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трасантом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є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зв'язку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чим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заявник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вправі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вимагати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оплати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вказаного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векселя, 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процедурі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ліквідації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вартості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емітованого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не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оплаченого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ним векселя та 20 %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річних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Сума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відсотків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період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 30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червня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2011р. по 08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червня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2016 р. становить: 20 847 903,30 грн.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Частиною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3 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begin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instrText xml:space="preserve"> HYPERLINK "http://search.ligazakon.ua/l_doc2.nsf/link1/an_19/ed_2015_07_16/pravo1/T012374.html?pravo=1" \l "19" \o "Про обіг векселів в Україні; нормативно-правовий акт № 2374-III від 05.04.2001" \t "_blank" </w:instrTex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separate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статті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 Закону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"Про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обіг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векселів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"</w:t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fldChar w:fldCharType="end"/>
      </w: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передбачено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разі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видачі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(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передачі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) векселя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 договору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припиняються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зобов'язання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 за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цим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договором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виникають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зобов'язання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щодо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 за векселем.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Аналізуючи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зазначену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норму закону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слід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зробити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висновок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зобов'язання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платити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за простим векселем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виникає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лише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трасанти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без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визначення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управненої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отримання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платежу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сторони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lastRenderedPageBreak/>
        <w:t xml:space="preserve">З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змісту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положень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вексельного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законодавства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вбачається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будь-яка особа, яка є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законним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держателем векселя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отримання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плати за векселем.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За таких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обставин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загальна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сума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заборгованості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перед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складає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41 926 808,30 грн.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Відповідно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ч.3 </w:t>
      </w:r>
      <w:hyperlink r:id="rId11" w:anchor="931016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ст.95 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відновлення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платоспроможності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боржника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або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визнання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його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банкрутом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мають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право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заявити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свої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ліквідується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місячний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строк з дня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офіційного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оприлюднення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повідомлення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про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який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ліквідується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банкрутом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на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офіційному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веб -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сайті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Вищого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господарського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України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в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мережі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Інтернет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Враховуючи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що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грошові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підтверджені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належними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та 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допустимими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доказами</w:t>
      </w:r>
      <w:proofErr w:type="spellEnd"/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 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визнані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ліквідатором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  суд  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вважає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  за  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необхідне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 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боржника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41926808,30 грн.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включити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реєстру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 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також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2756,00 грн.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витрат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по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сплаті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судового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збору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першу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Керуючись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ст.ст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 </w:t>
      </w:r>
      <w:hyperlink r:id="rId12" w:anchor="930343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37-41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ст.</w:t>
      </w:r>
      <w:hyperlink r:id="rId13" w:anchor="930455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45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ст.</w:t>
      </w:r>
      <w:hyperlink r:id="rId14" w:anchor="931016" w:tgtFrame="_blank" w:tooltip="Про відновлення платоспроможності боржника або визнання його банкрутом; нормативно-правовий акт № 2343-XII від 14.05.1992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95 Закону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"Про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відновлення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  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платоспроможності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боржника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або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визнання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його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банкрутом</w:t>
        </w:r>
        <w:proofErr w:type="spellEnd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"</w:t>
        </w:r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 </w:t>
      </w:r>
      <w:hyperlink r:id="rId15" w:anchor="845" w:tgtFrame="_blank" w:tooltip="Господарський процесуальний кодекс України; нормативно-правовий акт № 1798-XII від 06.11.1991" w:history="1"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 xml:space="preserve">ст. 86 ГПК </w:t>
        </w:r>
        <w:proofErr w:type="spellStart"/>
        <w:r w:rsidRPr="002307B6">
          <w:rPr>
            <w:rFonts w:ascii="Times New Roman" w:eastAsia="Times New Roman" w:hAnsi="Times New Roman" w:cs="Times New Roman"/>
            <w:color w:val="000000"/>
            <w:sz w:val="27"/>
            <w:szCs w:val="27"/>
            <w:lang w:val="ru-RU" w:eastAsia="ru-RU"/>
          </w:rPr>
          <w:t>України</w:t>
        </w:r>
        <w:proofErr w:type="spellEnd"/>
      </w:hyperlink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, -</w:t>
      </w:r>
    </w:p>
    <w:p w:rsidR="002307B6" w:rsidRPr="002307B6" w:rsidRDefault="002307B6" w:rsidP="002307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УХВАЛИВ: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1.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Визнати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 ТОВ "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Роял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Хоспітелеті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Груп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" у </w:t>
      </w:r>
      <w:proofErr w:type="spellStart"/>
      <w:proofErr w:type="gram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  41926808</w:t>
      </w:r>
      <w:proofErr w:type="gram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,30  грн. та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включити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їх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  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реєстру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четвертої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2.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Витрати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кредитора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сплати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судового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збору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у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розмірі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2756,00 грн.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включити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до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першої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черги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задоволення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вимог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 xml:space="preserve"> </w:t>
      </w:r>
      <w:proofErr w:type="spellStart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кредиторів</w:t>
      </w:r>
      <w:proofErr w:type="spellEnd"/>
      <w:r w:rsidRPr="002307B6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  <w:t>.</w:t>
      </w:r>
    </w:p>
    <w:p w:rsidR="002307B6" w:rsidRPr="002307B6" w:rsidRDefault="002307B6" w:rsidP="00230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/>
        </w:rPr>
      </w:pPr>
      <w:r w:rsidRPr="002307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Суддя                                                                            Швидкін А.О.</w:t>
      </w:r>
    </w:p>
    <w:p w:rsidR="009A41B7" w:rsidRDefault="009A41B7">
      <w:bookmarkStart w:id="0" w:name="_GoBack"/>
      <w:bookmarkEnd w:id="0"/>
    </w:p>
    <w:sectPr w:rsidR="009A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5E"/>
    <w:rsid w:val="002307B6"/>
    <w:rsid w:val="00965D5E"/>
    <w:rsid w:val="009A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7BA7D-D9AA-4592-AF48-00D75F07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07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2307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2307B6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07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2307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8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1999_07_06/pravo1/T990827.html?pravo=1" TargetMode="External"/><Relationship Id="rId13" Type="http://schemas.openxmlformats.org/officeDocument/2006/relationships/hyperlink" Target="http://search.ligazakon.ua/l_doc2.nsf/link1/an_930455/ed_2017_01_01/pravo1/T234300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ed_1999_07_06/pravo1/T990826.html?pravo=1" TargetMode="External"/><Relationship Id="rId12" Type="http://schemas.openxmlformats.org/officeDocument/2006/relationships/hyperlink" Target="http://search.ligazakon.ua/l_doc2.nsf/link1/an_930343/ed_2017_01_01/pravo1/T234300.html?pravo=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ed_2006_05_13/pravo1/T120100.html?pravo=1" TargetMode="External"/><Relationship Id="rId11" Type="http://schemas.openxmlformats.org/officeDocument/2006/relationships/hyperlink" Target="http://search.ligazakon.ua/l_doc2.nsf/link1/an_931016/ed_2017_01_01/pravo1/T234300.html?pravo=1" TargetMode="External"/><Relationship Id="rId5" Type="http://schemas.openxmlformats.org/officeDocument/2006/relationships/hyperlink" Target="http://search.ligazakon.ua/l_doc2.nsf/link1/an_931016/ed_2017_01_01/pravo1/T234300.html?pravo=1" TargetMode="External"/><Relationship Id="rId15" Type="http://schemas.openxmlformats.org/officeDocument/2006/relationships/hyperlink" Target="http://search.ligazakon.ua/l_doc2.nsf/link1/an_845/ed_2016_10_05/pravo1/T179800.html?pravo=1" TargetMode="External"/><Relationship Id="rId10" Type="http://schemas.openxmlformats.org/officeDocument/2006/relationships/hyperlink" Target="http://search.ligazakon.ua/l_doc2.nsf/link1/ed_1999_07_06/pravo1/T990826.html?pravo=1" TargetMode="External"/><Relationship Id="rId4" Type="http://schemas.openxmlformats.org/officeDocument/2006/relationships/hyperlink" Target="https://reyestr.court.gov.ua/Review/66048007" TargetMode="External"/><Relationship Id="rId9" Type="http://schemas.openxmlformats.org/officeDocument/2006/relationships/hyperlink" Target="http://search.ligazakon.ua/l_doc2.nsf/link1/ed_1999_07_06/pravo1/T990828.html?pravo=1" TargetMode="External"/><Relationship Id="rId14" Type="http://schemas.openxmlformats.org/officeDocument/2006/relationships/hyperlink" Target="http://search.ligazakon.ua/l_doc2.nsf/link1/an_931016/ed_2017_01_01/pravo1/T2343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2150</Words>
  <Characters>12259</Characters>
  <Application>Microsoft Office Word</Application>
  <DocSecurity>0</DocSecurity>
  <Lines>102</Lines>
  <Paragraphs>28</Paragraphs>
  <ScaleCrop>false</ScaleCrop>
  <Company/>
  <LinksUpToDate>false</LinksUpToDate>
  <CharactersWithSpaces>14381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2022-01-26T15:24:00Z</dcterms:created>
  <dcterms:modified xsi:type="dcterms:W3CDTF">2022-01-26T15:24:00Z</dcterms:modified>
</cp:coreProperties>
</file>